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1DD" w:rsidRDefault="00FD325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D3254">
        <w:rPr>
          <w:rFonts w:ascii="Times New Roman" w:hAnsi="Times New Roman" w:cs="Times New Roman"/>
          <w:sz w:val="24"/>
          <w:szCs w:val="24"/>
          <w:lang w:val="uk-UA"/>
        </w:rPr>
        <w:t>2.33.</w:t>
      </w:r>
    </w:p>
    <w:p w:rsidR="00FD3254" w:rsidRPr="009F0E8D" w:rsidRDefault="00FD3254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F0E8D">
        <w:rPr>
          <w:rFonts w:ascii="Times New Roman" w:hAnsi="Times New Roman" w:cs="Times New Roman"/>
          <w:b/>
          <w:sz w:val="24"/>
          <w:szCs w:val="24"/>
          <w:lang w:val="uk-UA"/>
        </w:rPr>
        <w:t>інформаційна безпека</w:t>
      </w:r>
    </w:p>
    <w:p w:rsidR="00FD3254" w:rsidRDefault="00FD3254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збереження конфіденційності (2.12), цілісності (2.40) та можливості застосування (2.9) інформації</w:t>
      </w:r>
    </w:p>
    <w:p w:rsidR="00FD3254" w:rsidRDefault="00FD3254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Примітка </w:t>
      </w:r>
      <w:r w:rsidR="009F0E8D">
        <w:rPr>
          <w:rFonts w:ascii="Times New Roman" w:hAnsi="Times New Roman" w:cs="Times New Roman"/>
          <w:sz w:val="24"/>
          <w:szCs w:val="24"/>
          <w:lang w:val="uk-UA"/>
        </w:rPr>
        <w:t xml:space="preserve">1 до визначення: Крім того, можуть використовуватися інші властивості, такі як справжність (2.8), </w:t>
      </w:r>
      <w:r w:rsidR="009F0E8D" w:rsidRPr="009F0E8D">
        <w:rPr>
          <w:rFonts w:ascii="Times New Roman" w:hAnsi="Times New Roman" w:cs="Times New Roman"/>
          <w:sz w:val="24"/>
          <w:szCs w:val="24"/>
          <w:lang w:val="uk-UA"/>
        </w:rPr>
        <w:t>контрольованість</w:t>
      </w:r>
      <w:r w:rsidR="009F0E8D">
        <w:rPr>
          <w:rFonts w:ascii="Times New Roman" w:hAnsi="Times New Roman" w:cs="Times New Roman"/>
          <w:sz w:val="24"/>
          <w:szCs w:val="24"/>
          <w:lang w:val="uk-UA"/>
        </w:rPr>
        <w:t>, неспростовність авторства (2.54) та надійність (2.62).</w:t>
      </w:r>
    </w:p>
    <w:p w:rsidR="009F0E8D" w:rsidRDefault="009F0E8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2.34</w:t>
      </w:r>
    </w:p>
    <w:p w:rsidR="009F0E8D" w:rsidRPr="009F0E8D" w:rsidRDefault="009F0E8D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F0E8D">
        <w:rPr>
          <w:rFonts w:ascii="Times New Roman" w:hAnsi="Times New Roman" w:cs="Times New Roman"/>
          <w:b/>
          <w:sz w:val="24"/>
          <w:szCs w:val="24"/>
          <w:lang w:val="uk-UA"/>
        </w:rPr>
        <w:t>неперервність інформаційної безпеки</w:t>
      </w:r>
    </w:p>
    <w:p w:rsidR="009F0E8D" w:rsidRDefault="009F0E8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процеси (2.61) та процедури, які гарантують постійне забезпечення інформаційної безпеки (2.33)</w:t>
      </w:r>
    </w:p>
    <w:p w:rsidR="009F0E8D" w:rsidRDefault="009F0E8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2.35</w:t>
      </w:r>
    </w:p>
    <w:p w:rsidR="009F0E8D" w:rsidRPr="009F0E8D" w:rsidRDefault="009F0E8D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F0E8D">
        <w:rPr>
          <w:rFonts w:ascii="Times New Roman" w:hAnsi="Times New Roman" w:cs="Times New Roman"/>
          <w:b/>
          <w:sz w:val="24"/>
          <w:szCs w:val="24"/>
          <w:lang w:val="uk-UA"/>
        </w:rPr>
        <w:t>подія інформаційної безпеки</w:t>
      </w:r>
    </w:p>
    <w:p w:rsidR="009F0E8D" w:rsidRDefault="009F0E8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встановлене виникнення стану системи, служби або мережі, що вказує на можливе порушення політики (2.60) інформаційної безпеки (2.33) або збій в роботі засобів управління (2.16), або на раніше невідому ситуацію, яка може мати відношення до безпеки</w:t>
      </w:r>
    </w:p>
    <w:p w:rsidR="009F0E8D" w:rsidRDefault="009F0E8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2.36</w:t>
      </w:r>
    </w:p>
    <w:p w:rsidR="009F0E8D" w:rsidRDefault="009F0E8D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F0E8D">
        <w:rPr>
          <w:rFonts w:ascii="Times New Roman" w:hAnsi="Times New Roman" w:cs="Times New Roman"/>
          <w:b/>
          <w:sz w:val="24"/>
          <w:szCs w:val="24"/>
          <w:lang w:val="uk-UA"/>
        </w:rPr>
        <w:t>інцидент інформаційної безпеки</w:t>
      </w:r>
    </w:p>
    <w:p w:rsidR="009F0E8D" w:rsidRDefault="009F0E8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одне або декілька небажаних або несподіваних подій інформаційної безпеки (2.35)</w:t>
      </w:r>
      <w:r w:rsidR="00F04233">
        <w:rPr>
          <w:rFonts w:ascii="Times New Roman" w:hAnsi="Times New Roman" w:cs="Times New Roman"/>
          <w:sz w:val="24"/>
          <w:szCs w:val="24"/>
          <w:lang w:val="uk-UA"/>
        </w:rPr>
        <w:t>, які зі значним ступенем імовірності піддають небезпеці ділову діяльність та загрожують інформаційній безпеці (2.33)</w:t>
      </w:r>
    </w:p>
    <w:p w:rsidR="00F04233" w:rsidRDefault="00F04233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2.37</w:t>
      </w:r>
    </w:p>
    <w:p w:rsidR="00F04233" w:rsidRPr="00F04233" w:rsidRDefault="00F0423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04233">
        <w:rPr>
          <w:rFonts w:ascii="Times New Roman" w:hAnsi="Times New Roman" w:cs="Times New Roman"/>
          <w:b/>
          <w:sz w:val="24"/>
          <w:szCs w:val="24"/>
          <w:lang w:val="uk-UA"/>
        </w:rPr>
        <w:t>менеджмент інцидентів інформаційної безпеки</w:t>
      </w:r>
    </w:p>
    <w:p w:rsidR="00F04233" w:rsidRDefault="00F04233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процеси (2.61) виявлення, інформування, оцінки, реагування, обробки та лікування уроків з інцидентів інформаційної безпеки (2.36)</w:t>
      </w:r>
    </w:p>
    <w:p w:rsidR="00F04233" w:rsidRDefault="00F04233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2.38</w:t>
      </w:r>
    </w:p>
    <w:p w:rsidR="00F04233" w:rsidRDefault="00F0423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04233">
        <w:rPr>
          <w:rFonts w:ascii="Times New Roman" w:hAnsi="Times New Roman" w:cs="Times New Roman"/>
          <w:b/>
          <w:sz w:val="24"/>
          <w:szCs w:val="24"/>
          <w:lang w:val="uk-UA"/>
        </w:rPr>
        <w:t>спільнота обміну інформації</w:t>
      </w:r>
    </w:p>
    <w:p w:rsidR="00F04233" w:rsidRDefault="00F04233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група організацій (2.57), які досягли угоди про спільне використання інформації</w:t>
      </w:r>
    </w:p>
    <w:p w:rsidR="00F04233" w:rsidRDefault="00F04233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Примітка 1 до визначення: В якості організації (2.57) може виступати окрема особа</w:t>
      </w:r>
    </w:p>
    <w:p w:rsidR="00F04233" w:rsidRDefault="00F04233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2.39</w:t>
      </w:r>
    </w:p>
    <w:p w:rsidR="00F04233" w:rsidRDefault="00F0423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інформаційна система</w:t>
      </w:r>
    </w:p>
    <w:p w:rsidR="00F04233" w:rsidRDefault="00F04233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застосунки, служби, активи, які пов’язані з інформаційними технологіями, або інші компоненти обробки інформації</w:t>
      </w:r>
    </w:p>
    <w:p w:rsidR="00F04233" w:rsidRDefault="00F04233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2.40</w:t>
      </w:r>
    </w:p>
    <w:p w:rsidR="00F04233" w:rsidRDefault="00F0423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цілісність</w:t>
      </w:r>
    </w:p>
    <w:p w:rsidR="00F04233" w:rsidRDefault="00F04233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властивість збереження повноти та точності</w:t>
      </w:r>
    </w:p>
    <w:p w:rsidR="00F04233" w:rsidRDefault="00F04233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2.41</w:t>
      </w:r>
    </w:p>
    <w:p w:rsidR="00F04233" w:rsidRDefault="00F0423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зацікавлена сторона</w:t>
      </w:r>
    </w:p>
    <w:p w:rsidR="00F04233" w:rsidRDefault="00F04233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особа або організація (2.57), які можуть впливати на рішення або дію, а також на яких можуть впливати або вони припускають, що на них можуть впливати рішення або дії</w:t>
      </w:r>
    </w:p>
    <w:p w:rsidR="00F04233" w:rsidRDefault="00F04233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2.42</w:t>
      </w:r>
    </w:p>
    <w:p w:rsidR="00F04233" w:rsidRDefault="00F0423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04233">
        <w:rPr>
          <w:rFonts w:ascii="Times New Roman" w:hAnsi="Times New Roman" w:cs="Times New Roman"/>
          <w:b/>
          <w:sz w:val="24"/>
          <w:szCs w:val="24"/>
          <w:lang w:val="uk-UA"/>
        </w:rPr>
        <w:t>внутрішній контекст</w:t>
      </w:r>
    </w:p>
    <w:p w:rsidR="00F04233" w:rsidRDefault="00F04233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внутрішнє середовище, в якому організація (2.57) прагне досягти своїх цілей </w:t>
      </w:r>
    </w:p>
    <w:p w:rsidR="00F04233" w:rsidRDefault="00F04233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Примітка 1 до визначення: Внутрішній контекст може включати:</w:t>
      </w:r>
    </w:p>
    <w:p w:rsidR="00F04233" w:rsidRDefault="00F04233" w:rsidP="00F042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органи управління, організаційну структуру, ролі та зобов’язання;</w:t>
      </w:r>
    </w:p>
    <w:p w:rsidR="00F04233" w:rsidRDefault="00F04233" w:rsidP="00F042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політики (2.60), цілі (2.56) та стратегії, які застосовуються для їх досягнення;</w:t>
      </w:r>
    </w:p>
    <w:p w:rsidR="00F04233" w:rsidRDefault="00F04233" w:rsidP="00F042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можли</w:t>
      </w:r>
      <w:r w:rsidR="00E638DD">
        <w:rPr>
          <w:rFonts w:ascii="Times New Roman" w:hAnsi="Times New Roman" w:cs="Times New Roman"/>
          <w:sz w:val="24"/>
          <w:szCs w:val="24"/>
          <w:lang w:val="uk-UA"/>
        </w:rPr>
        <w:t>вості, що розуміються в термінах ресурсів та накопичених знань (наприклад, капітал, час, персонал, процеси (2.61), системи та технології);</w:t>
      </w:r>
    </w:p>
    <w:p w:rsidR="00E638DD" w:rsidRDefault="00E638DD" w:rsidP="00F042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інформаційні системи (2.39), інформаційні потоки та процеси (2.56) прийняття рішень (як формалізовані, так і не формалізовані);</w:t>
      </w:r>
    </w:p>
    <w:p w:rsidR="00E638DD" w:rsidRDefault="00E638DD" w:rsidP="00F042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взаємовідносини з внутрішніми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впливаючими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сторонами (2.82), їх думки та цінності;</w:t>
      </w:r>
    </w:p>
    <w:p w:rsidR="00E638DD" w:rsidRDefault="00E638DD" w:rsidP="00F042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корпоративна культура організації (2.57);</w:t>
      </w:r>
    </w:p>
    <w:p w:rsidR="00E638DD" w:rsidRDefault="00E638DD" w:rsidP="00F042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стандарти, керівництва та моделі, прийняті організацією (2.57);</w:t>
      </w:r>
    </w:p>
    <w:p w:rsidR="00E638DD" w:rsidRDefault="00E638DD" w:rsidP="00F042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форма та об’єм договірних відношень.</w:t>
      </w:r>
    </w:p>
    <w:p w:rsidR="00E638DD" w:rsidRDefault="00E638DD" w:rsidP="00E638D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2.43</w:t>
      </w:r>
    </w:p>
    <w:p w:rsidR="00E638DD" w:rsidRPr="00E638DD" w:rsidRDefault="00E638DD" w:rsidP="00E638DD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638DD">
        <w:rPr>
          <w:rFonts w:ascii="Times New Roman" w:hAnsi="Times New Roman" w:cs="Times New Roman"/>
          <w:b/>
          <w:sz w:val="24"/>
          <w:szCs w:val="24"/>
          <w:lang w:val="uk-UA"/>
        </w:rPr>
        <w:t>проект СУІБ</w:t>
      </w:r>
    </w:p>
    <w:p w:rsidR="00E638DD" w:rsidRDefault="00E638DD" w:rsidP="00E638D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структуровані дії, що робить організація (2.57) для впровадження СУІБ</w:t>
      </w:r>
    </w:p>
    <w:p w:rsidR="00E638DD" w:rsidRDefault="00E638DD" w:rsidP="00E638D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2.44</w:t>
      </w:r>
    </w:p>
    <w:p w:rsidR="00E638DD" w:rsidRDefault="00E638DD" w:rsidP="00E638DD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638DD">
        <w:rPr>
          <w:rFonts w:ascii="Times New Roman" w:hAnsi="Times New Roman" w:cs="Times New Roman"/>
          <w:b/>
          <w:sz w:val="24"/>
          <w:szCs w:val="24"/>
          <w:lang w:val="uk-UA"/>
        </w:rPr>
        <w:t>рівень ризику</w:t>
      </w:r>
    </w:p>
    <w:p w:rsidR="00E638DD" w:rsidRPr="00E638DD" w:rsidRDefault="00E638DD" w:rsidP="00E638D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величина ризику (2.68), що виражається комбінацією наслідків (2.14) та їх ймовірності (2.45)</w:t>
      </w:r>
      <w:bookmarkStart w:id="0" w:name="_GoBack"/>
      <w:bookmarkEnd w:id="0"/>
    </w:p>
    <w:p w:rsidR="00F04233" w:rsidRPr="00F04233" w:rsidRDefault="00F04233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F04233" w:rsidRPr="00F04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475122"/>
    <w:multiLevelType w:val="hybridMultilevel"/>
    <w:tmpl w:val="325C3F3E"/>
    <w:lvl w:ilvl="0" w:tplc="0FF2F6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81A"/>
    <w:rsid w:val="0032210E"/>
    <w:rsid w:val="004F6DE0"/>
    <w:rsid w:val="009F0E8D"/>
    <w:rsid w:val="00DE681A"/>
    <w:rsid w:val="00E638DD"/>
    <w:rsid w:val="00F04233"/>
    <w:rsid w:val="00FD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1C5EE8-04FB-419C-8470-D1218E4D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</cp:revision>
  <dcterms:created xsi:type="dcterms:W3CDTF">2022-06-29T16:49:00Z</dcterms:created>
  <dcterms:modified xsi:type="dcterms:W3CDTF">2022-06-29T17:27:00Z</dcterms:modified>
</cp:coreProperties>
</file>