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5CCE8" w14:textId="23D325B7" w:rsidR="00A95652" w:rsidRDefault="00070A64" w:rsidP="008C1B2E">
      <w:pPr>
        <w:rPr>
          <w:rFonts w:asciiTheme="minorHAnsi" w:hAnsiTheme="minorHAnsi" w:cstheme="minorHAnsi"/>
        </w:rPr>
      </w:pPr>
      <w:r>
        <w:rPr>
          <w:rFonts w:asciiTheme="minorHAnsi" w:hAnsiTheme="minorHAnsi" w:cstheme="minorHAnsi"/>
        </w:rPr>
        <w:t>QTM 350</w:t>
      </w:r>
      <w:r>
        <w:rPr>
          <w:rFonts w:asciiTheme="minorHAnsi" w:hAnsiTheme="minorHAnsi" w:cstheme="minorHAnsi"/>
        </w:rPr>
        <w:t xml:space="preserve"> </w:t>
      </w:r>
      <w:r w:rsidRPr="00070A64">
        <w:rPr>
          <w:rFonts w:asciiTheme="minorHAnsi" w:hAnsiTheme="minorHAnsi" w:cstheme="minorHAnsi"/>
        </w:rPr>
        <w:t>Final Project Codebook</w:t>
      </w:r>
    </w:p>
    <w:p w14:paraId="1846FEA2" w14:textId="7F0401A8" w:rsidR="00070A64" w:rsidRDefault="00070A64" w:rsidP="008C1B2E">
      <w:pPr>
        <w:rPr>
          <w:rFonts w:asciiTheme="minorHAnsi" w:hAnsiTheme="minorHAnsi" w:cstheme="minorHAnsi"/>
        </w:rPr>
      </w:pPr>
      <w:r w:rsidRPr="00070A64">
        <w:rPr>
          <w:rFonts w:asciiTheme="minorHAnsi" w:hAnsiTheme="minorHAnsi" w:cstheme="minorHAnsi"/>
        </w:rPr>
        <w:t>Lucas Lobo, Katherine Martini, Joyce Chen, Caleb Sharkey</w:t>
      </w:r>
    </w:p>
    <w:p w14:paraId="7C32DB8E" w14:textId="4D5AED94" w:rsidR="00D735A7" w:rsidRPr="00070A64" w:rsidRDefault="00D735A7" w:rsidP="008C1B2E">
      <w:pPr>
        <w:rPr>
          <w:rFonts w:asciiTheme="minorHAnsi" w:hAnsiTheme="minorHAnsi" w:cstheme="minorHAnsi"/>
        </w:rPr>
      </w:pPr>
      <w:r w:rsidRPr="00D735A7">
        <w:rPr>
          <w:rFonts w:asciiTheme="minorHAnsi" w:hAnsiTheme="minorHAnsi" w:cstheme="minorHAnsi"/>
          <w:b/>
          <w:bCs/>
        </w:rPr>
        <w:t>Source</w:t>
      </w:r>
      <w:r>
        <w:rPr>
          <w:rFonts w:asciiTheme="minorHAnsi" w:hAnsiTheme="minorHAnsi" w:cstheme="minorHAnsi"/>
        </w:rPr>
        <w:t xml:space="preserve">: World Bank Group. Data/indicator descriptions have been pulled from the following website: </w:t>
      </w:r>
      <w:r w:rsidRPr="00D735A7">
        <w:rPr>
          <w:rFonts w:asciiTheme="minorHAnsi" w:hAnsiTheme="minorHAnsi" w:cstheme="minorHAnsi"/>
        </w:rPr>
        <w:t>https://databank.worldbank.org/source/world-development-indicators</w:t>
      </w:r>
    </w:p>
    <w:p w14:paraId="27095658" w14:textId="3538A317" w:rsidR="00070A64" w:rsidRPr="00070A64" w:rsidRDefault="00070A64" w:rsidP="008C1B2E">
      <w:pPr>
        <w:rPr>
          <w:rFonts w:asciiTheme="minorHAnsi" w:hAnsiTheme="minorHAnsi" w:cstheme="minorHAnsi"/>
        </w:rPr>
      </w:pPr>
      <w:r w:rsidRPr="00070A64">
        <w:rPr>
          <w:rFonts w:asciiTheme="minorHAnsi" w:hAnsiTheme="minorHAnsi" w:cstheme="minorHAnsi"/>
          <w:b/>
          <w:bCs/>
        </w:rPr>
        <w:t>Time Frame</w:t>
      </w:r>
      <w:r w:rsidRPr="00070A64">
        <w:rPr>
          <w:rFonts w:asciiTheme="minorHAnsi" w:hAnsiTheme="minorHAnsi" w:cstheme="minorHAnsi"/>
        </w:rPr>
        <w:t>: 1975-2024</w:t>
      </w:r>
      <w:r w:rsidR="00D735A7">
        <w:rPr>
          <w:rFonts w:asciiTheme="minorHAnsi" w:hAnsiTheme="minorHAnsi" w:cstheme="minorHAnsi"/>
        </w:rPr>
        <w:t>.</w:t>
      </w:r>
    </w:p>
    <w:p w14:paraId="05AFE90C" w14:textId="51449776" w:rsidR="00070A64" w:rsidRPr="00070A64" w:rsidRDefault="00070A64" w:rsidP="008C1B2E">
      <w:pPr>
        <w:rPr>
          <w:rFonts w:asciiTheme="minorHAnsi" w:hAnsiTheme="minorHAnsi" w:cstheme="minorHAnsi"/>
        </w:rPr>
      </w:pPr>
      <w:r w:rsidRPr="00070A64">
        <w:rPr>
          <w:rFonts w:asciiTheme="minorHAnsi" w:hAnsiTheme="minorHAnsi" w:cstheme="minorHAnsi"/>
          <w:b/>
          <w:bCs/>
        </w:rPr>
        <w:t>Countries</w:t>
      </w:r>
      <w:r>
        <w:rPr>
          <w:rFonts w:asciiTheme="minorHAnsi" w:hAnsiTheme="minorHAnsi" w:cstheme="minorHAnsi"/>
          <w:b/>
          <w:bCs/>
        </w:rPr>
        <w:t>/Territories</w:t>
      </w:r>
      <w:r w:rsidRPr="00070A64">
        <w:rPr>
          <w:rFonts w:asciiTheme="minorHAnsi" w:hAnsiTheme="minorHAnsi" w:cstheme="minorHAnsi"/>
        </w:rPr>
        <w:t xml:space="preserve">: </w:t>
      </w:r>
      <w:r w:rsidRPr="00070A64">
        <w:rPr>
          <w:rFonts w:asciiTheme="minorHAnsi" w:hAnsiTheme="minorHAnsi" w:cstheme="minorHAnsi"/>
        </w:rPr>
        <w:t>Argentina, Belize, Costa Rica, El Salvador, Guatemala, Honduras, Mexico, Nicaragua, Panama, Bolivia, Brazil, Chile, Colombia, Ecuador, Guyana, Paraguay, Peru, Suriname, Uruguay, Venezuela, Cuba, Dominican Republic, Haiti, Puerto Rico (territory), St. Martin</w:t>
      </w:r>
      <w:r w:rsidR="00D735A7">
        <w:rPr>
          <w:rFonts w:asciiTheme="minorHAnsi" w:hAnsiTheme="minorHAnsi" w:cstheme="minorHAnsi"/>
        </w:rPr>
        <w:t>.</w:t>
      </w:r>
    </w:p>
    <w:p w14:paraId="715E3CC8" w14:textId="77777777" w:rsidR="00070A64" w:rsidRDefault="00070A64" w:rsidP="00070A64">
      <w:pPr>
        <w:rPr>
          <w:rFonts w:asciiTheme="minorHAnsi" w:hAnsiTheme="minorHAnsi" w:cstheme="minorHAnsi"/>
        </w:rPr>
      </w:pPr>
      <w:r w:rsidRPr="00D735A7">
        <w:rPr>
          <w:rFonts w:asciiTheme="minorHAnsi" w:hAnsiTheme="minorHAnsi" w:cstheme="minorHAnsi"/>
          <w:b/>
          <w:bCs/>
        </w:rPr>
        <w:t>Indicators – Core</w:t>
      </w:r>
      <w:r w:rsidRPr="00070A64">
        <w:rPr>
          <w:rFonts w:asciiTheme="minorHAnsi" w:hAnsiTheme="minorHAnsi" w:cstheme="minorHAnsi"/>
        </w:rPr>
        <w:t>:</w:t>
      </w:r>
    </w:p>
    <w:p w14:paraId="54861675" w14:textId="059B4E81" w:rsidR="00070A64" w:rsidRPr="00070A64" w:rsidRDefault="00070A64" w:rsidP="00070A64">
      <w:pPr>
        <w:pStyle w:val="ListParagraph"/>
        <w:numPr>
          <w:ilvl w:val="0"/>
          <w:numId w:val="11"/>
        </w:numPr>
        <w:rPr>
          <w:rFonts w:asciiTheme="minorHAnsi" w:hAnsiTheme="minorHAnsi" w:cstheme="minorHAnsi"/>
        </w:rPr>
      </w:pPr>
      <w:r w:rsidRPr="00070A64">
        <w:rPr>
          <w:rFonts w:asciiTheme="minorHAnsi" w:eastAsia="Times New Roman" w:hAnsiTheme="minorHAnsi" w:cstheme="minorHAnsi"/>
          <w:color w:val="000000"/>
        </w:rPr>
        <w:t>Life expectancy at birth, total (years)</w:t>
      </w:r>
      <w:r w:rsidR="00D735A7">
        <w:rPr>
          <w:rFonts w:asciiTheme="minorHAnsi" w:eastAsia="Times New Roman" w:hAnsiTheme="minorHAnsi" w:cstheme="minorHAnsi"/>
          <w:color w:val="000000"/>
        </w:rPr>
        <w:t xml:space="preserve">: </w:t>
      </w:r>
      <w:r w:rsidR="00D735A7" w:rsidRPr="00D735A7">
        <w:rPr>
          <w:rFonts w:asciiTheme="minorHAnsi" w:eastAsia="Times New Roman" w:hAnsiTheme="minorHAnsi" w:cstheme="minorHAnsi"/>
          <w:color w:val="000000"/>
        </w:rPr>
        <w:t>number of years a newborn infant would live if prevailing patterns of mortality at the time of its birth were to stay the same throughout its life.</w:t>
      </w:r>
    </w:p>
    <w:p w14:paraId="4625E63C" w14:textId="42E27B27" w:rsidR="00070A64" w:rsidRPr="00070A64" w:rsidRDefault="00070A64" w:rsidP="00070A64">
      <w:pPr>
        <w:pStyle w:val="ListParagraph"/>
        <w:numPr>
          <w:ilvl w:val="0"/>
          <w:numId w:val="11"/>
        </w:numPr>
        <w:rPr>
          <w:rFonts w:asciiTheme="minorHAnsi" w:hAnsiTheme="minorHAnsi" w:cstheme="minorHAnsi"/>
        </w:rPr>
      </w:pPr>
      <w:r w:rsidRPr="00070A64">
        <w:rPr>
          <w:rFonts w:asciiTheme="minorHAnsi" w:eastAsia="Times New Roman" w:hAnsiTheme="minorHAnsi" w:cstheme="minorHAnsi"/>
          <w:color w:val="000000"/>
        </w:rPr>
        <w:t xml:space="preserve">Mortality rate, </w:t>
      </w:r>
      <w:proofErr w:type="gramStart"/>
      <w:r w:rsidRPr="00070A64">
        <w:rPr>
          <w:rFonts w:asciiTheme="minorHAnsi" w:eastAsia="Times New Roman" w:hAnsiTheme="minorHAnsi" w:cstheme="minorHAnsi"/>
          <w:color w:val="000000"/>
        </w:rPr>
        <w:t>under-5</w:t>
      </w:r>
      <w:proofErr w:type="gramEnd"/>
      <w:r w:rsidRPr="00070A64">
        <w:rPr>
          <w:rFonts w:asciiTheme="minorHAnsi" w:eastAsia="Times New Roman" w:hAnsiTheme="minorHAnsi" w:cstheme="minorHAnsi"/>
          <w:color w:val="000000"/>
        </w:rPr>
        <w:t xml:space="preserve"> (per 1,000 live births)</w:t>
      </w:r>
      <w:r w:rsidR="00D735A7">
        <w:rPr>
          <w:rFonts w:asciiTheme="minorHAnsi" w:eastAsia="Times New Roman" w:hAnsiTheme="minorHAnsi" w:cstheme="minorHAnsi"/>
          <w:color w:val="000000"/>
        </w:rPr>
        <w:t xml:space="preserve">: </w:t>
      </w:r>
      <w:r w:rsidR="00D735A7" w:rsidRPr="00D735A7">
        <w:rPr>
          <w:rFonts w:asciiTheme="minorHAnsi" w:eastAsia="Times New Roman" w:hAnsiTheme="minorHAnsi" w:cstheme="minorHAnsi"/>
          <w:color w:val="000000"/>
        </w:rPr>
        <w:t>probability per 1,000 that a newborn baby will die before reaching age five, if subject to age-specific mortality rates of the specified year</w:t>
      </w:r>
      <w:r w:rsidR="00D735A7">
        <w:rPr>
          <w:rFonts w:asciiTheme="minorHAnsi" w:eastAsia="Times New Roman" w:hAnsiTheme="minorHAnsi" w:cstheme="minorHAnsi"/>
          <w:color w:val="000000"/>
        </w:rPr>
        <w:t>.</w:t>
      </w:r>
    </w:p>
    <w:p w14:paraId="0FB1E230" w14:textId="1AB743BC" w:rsidR="00070A64" w:rsidRPr="00070A64" w:rsidRDefault="00070A64" w:rsidP="00070A64">
      <w:pPr>
        <w:pStyle w:val="ListParagraph"/>
        <w:numPr>
          <w:ilvl w:val="0"/>
          <w:numId w:val="11"/>
        </w:numPr>
        <w:rPr>
          <w:rFonts w:asciiTheme="minorHAnsi" w:hAnsiTheme="minorHAnsi" w:cstheme="minorHAnsi"/>
        </w:rPr>
      </w:pPr>
      <w:r w:rsidRPr="00070A64">
        <w:rPr>
          <w:rFonts w:asciiTheme="minorHAnsi" w:eastAsia="Times New Roman" w:hAnsiTheme="minorHAnsi" w:cstheme="minorHAnsi"/>
          <w:color w:val="000000"/>
        </w:rPr>
        <w:t>Adolescent fertility rate (births per 1,000 women ages 15-19)</w:t>
      </w:r>
      <w:r w:rsidR="00D735A7">
        <w:rPr>
          <w:rFonts w:asciiTheme="minorHAnsi" w:eastAsia="Times New Roman" w:hAnsiTheme="minorHAnsi" w:cstheme="minorHAnsi"/>
          <w:color w:val="000000"/>
        </w:rPr>
        <w:t xml:space="preserve">: </w:t>
      </w:r>
      <w:r w:rsidR="00D735A7" w:rsidRPr="00D735A7">
        <w:rPr>
          <w:rFonts w:asciiTheme="minorHAnsi" w:eastAsia="Times New Roman" w:hAnsiTheme="minorHAnsi" w:cstheme="minorHAnsi"/>
          <w:color w:val="000000"/>
        </w:rPr>
        <w:t>number of births per 1,000 women ages 15-19.</w:t>
      </w:r>
    </w:p>
    <w:p w14:paraId="0ACD0D79" w14:textId="3D3D25F1" w:rsidR="00070A64" w:rsidRPr="00070A64" w:rsidRDefault="00070A64" w:rsidP="008C1B2E">
      <w:pPr>
        <w:rPr>
          <w:rFonts w:asciiTheme="minorHAnsi" w:hAnsiTheme="minorHAnsi" w:cstheme="minorHAnsi"/>
        </w:rPr>
      </w:pPr>
      <w:r w:rsidRPr="00D735A7">
        <w:rPr>
          <w:rFonts w:asciiTheme="minorHAnsi" w:hAnsiTheme="minorHAnsi" w:cstheme="minorHAnsi"/>
          <w:b/>
          <w:bCs/>
        </w:rPr>
        <w:t>Indicators – Supplementary</w:t>
      </w:r>
      <w:r w:rsidRPr="00070A64">
        <w:rPr>
          <w:rFonts w:asciiTheme="minorHAnsi" w:hAnsiTheme="minorHAnsi" w:cstheme="minorHAnsi"/>
        </w:rPr>
        <w:t>:</w:t>
      </w:r>
    </w:p>
    <w:p w14:paraId="55E26BC9" w14:textId="4E6990BD" w:rsidR="00070A64" w:rsidRDefault="00070A64" w:rsidP="00686463">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t>Prevalence of HIV, total (% of population ages 15-49)</w:t>
      </w:r>
      <w:r w:rsidR="00D735A7">
        <w:rPr>
          <w:rFonts w:asciiTheme="minorHAnsi" w:eastAsia="Times New Roman" w:hAnsiTheme="minorHAnsi" w:cstheme="minorHAnsi"/>
          <w:color w:val="000000"/>
        </w:rPr>
        <w:t xml:space="preserve">: </w:t>
      </w:r>
      <w:r w:rsidR="00D735A7" w:rsidRPr="00D735A7">
        <w:rPr>
          <w:rFonts w:asciiTheme="minorHAnsi" w:eastAsia="Times New Roman" w:hAnsiTheme="minorHAnsi" w:cstheme="minorHAnsi"/>
          <w:color w:val="000000"/>
        </w:rPr>
        <w:t>percentage of people ages 15-49 who are infected with HIV.</w:t>
      </w:r>
    </w:p>
    <w:p w14:paraId="304166CC" w14:textId="34044E8F" w:rsidR="00070A64" w:rsidRDefault="00070A64" w:rsidP="00070A64">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t xml:space="preserve">Immunization, DPT (% of children </w:t>
      </w:r>
      <w:proofErr w:type="gramStart"/>
      <w:r w:rsidRPr="00070A64">
        <w:rPr>
          <w:rFonts w:asciiTheme="minorHAnsi" w:eastAsia="Times New Roman" w:hAnsiTheme="minorHAnsi" w:cstheme="minorHAnsi"/>
          <w:color w:val="000000"/>
        </w:rPr>
        <w:t>ages</w:t>
      </w:r>
      <w:proofErr w:type="gramEnd"/>
      <w:r w:rsidRPr="00070A64">
        <w:rPr>
          <w:rFonts w:asciiTheme="minorHAnsi" w:eastAsia="Times New Roman" w:hAnsiTheme="minorHAnsi" w:cstheme="minorHAnsi"/>
          <w:color w:val="000000"/>
        </w:rPr>
        <w:t xml:space="preserve"> 12-23 months)</w:t>
      </w:r>
      <w:r w:rsidR="00D735A7">
        <w:rPr>
          <w:rFonts w:asciiTheme="minorHAnsi" w:eastAsia="Times New Roman" w:hAnsiTheme="minorHAnsi" w:cstheme="minorHAnsi"/>
          <w:color w:val="000000"/>
        </w:rPr>
        <w:t xml:space="preserve">: </w:t>
      </w:r>
      <w:r w:rsidR="00D735A7" w:rsidRPr="00D735A7">
        <w:rPr>
          <w:rFonts w:asciiTheme="minorHAnsi" w:eastAsia="Times New Roman" w:hAnsiTheme="minorHAnsi" w:cstheme="minorHAnsi"/>
          <w:color w:val="000000"/>
        </w:rPr>
        <w:t xml:space="preserve">percentage of children </w:t>
      </w:r>
      <w:proofErr w:type="gramStart"/>
      <w:r w:rsidR="00D735A7" w:rsidRPr="00D735A7">
        <w:rPr>
          <w:rFonts w:asciiTheme="minorHAnsi" w:eastAsia="Times New Roman" w:hAnsiTheme="minorHAnsi" w:cstheme="minorHAnsi"/>
          <w:color w:val="000000"/>
        </w:rPr>
        <w:t>ages</w:t>
      </w:r>
      <w:proofErr w:type="gramEnd"/>
      <w:r w:rsidR="00D735A7" w:rsidRPr="00D735A7">
        <w:rPr>
          <w:rFonts w:asciiTheme="minorHAnsi" w:eastAsia="Times New Roman" w:hAnsiTheme="minorHAnsi" w:cstheme="minorHAnsi"/>
          <w:color w:val="000000"/>
        </w:rPr>
        <w:t xml:space="preserve"> 12-23 months who received DPT vaccinations before 12 months or at any time before the survey</w:t>
      </w:r>
      <w:r w:rsidR="00D735A7">
        <w:rPr>
          <w:rFonts w:asciiTheme="minorHAnsi" w:eastAsia="Times New Roman" w:hAnsiTheme="minorHAnsi" w:cstheme="minorHAnsi"/>
          <w:color w:val="000000"/>
        </w:rPr>
        <w:t>.</w:t>
      </w:r>
    </w:p>
    <w:p w14:paraId="0EBE657B" w14:textId="1CF74BFB" w:rsidR="00070A64" w:rsidRDefault="00070A64" w:rsidP="00070A64">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t>Immunization, HepB3 (% of one-year-old children)</w:t>
      </w:r>
      <w:r w:rsidR="00D735A7">
        <w:rPr>
          <w:rFonts w:asciiTheme="minorHAnsi" w:eastAsia="Times New Roman" w:hAnsiTheme="minorHAnsi" w:cstheme="minorHAnsi"/>
          <w:color w:val="000000"/>
        </w:rPr>
        <w:t xml:space="preserve">: </w:t>
      </w:r>
      <w:r w:rsidR="00D735A7" w:rsidRPr="00D735A7">
        <w:rPr>
          <w:rFonts w:asciiTheme="minorHAnsi" w:eastAsia="Times New Roman" w:hAnsiTheme="minorHAnsi" w:cstheme="minorHAnsi"/>
          <w:color w:val="000000"/>
        </w:rPr>
        <w:t xml:space="preserve">percentage of children </w:t>
      </w:r>
      <w:proofErr w:type="gramStart"/>
      <w:r w:rsidR="00D735A7" w:rsidRPr="00D735A7">
        <w:rPr>
          <w:rFonts w:asciiTheme="minorHAnsi" w:eastAsia="Times New Roman" w:hAnsiTheme="minorHAnsi" w:cstheme="minorHAnsi"/>
          <w:color w:val="000000"/>
        </w:rPr>
        <w:t>ages</w:t>
      </w:r>
      <w:proofErr w:type="gramEnd"/>
      <w:r w:rsidR="00D735A7" w:rsidRPr="00D735A7">
        <w:rPr>
          <w:rFonts w:asciiTheme="minorHAnsi" w:eastAsia="Times New Roman" w:hAnsiTheme="minorHAnsi" w:cstheme="minorHAnsi"/>
          <w:color w:val="000000"/>
        </w:rPr>
        <w:t xml:space="preserve"> 12-23 months who received hepatitis B vaccinations before 12 months or at any time before the survey</w:t>
      </w:r>
      <w:r w:rsidR="00D735A7">
        <w:rPr>
          <w:rFonts w:asciiTheme="minorHAnsi" w:eastAsia="Times New Roman" w:hAnsiTheme="minorHAnsi" w:cstheme="minorHAnsi"/>
          <w:color w:val="000000"/>
        </w:rPr>
        <w:t>.</w:t>
      </w:r>
    </w:p>
    <w:p w14:paraId="3F1DC40D" w14:textId="3422FEC1" w:rsidR="00070A64" w:rsidRDefault="00070A64" w:rsidP="00070A64">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t>Immunization, measles (% of children ages 12-23 months)</w:t>
      </w:r>
      <w:r w:rsidR="00D735A7">
        <w:rPr>
          <w:rFonts w:asciiTheme="minorHAnsi" w:eastAsia="Times New Roman" w:hAnsiTheme="minorHAnsi" w:cstheme="minorHAnsi"/>
          <w:color w:val="000000"/>
        </w:rPr>
        <w:t xml:space="preserve">: </w:t>
      </w:r>
      <w:r w:rsidR="00D735A7" w:rsidRPr="00D735A7">
        <w:rPr>
          <w:rFonts w:asciiTheme="minorHAnsi" w:eastAsia="Times New Roman" w:hAnsiTheme="minorHAnsi" w:cstheme="minorHAnsi"/>
          <w:color w:val="000000"/>
        </w:rPr>
        <w:t>percentage of children ages 12-23 months who received the measles vaccination before 12 months or at any time before the survey</w:t>
      </w:r>
      <w:r w:rsidR="00D735A7">
        <w:rPr>
          <w:rFonts w:asciiTheme="minorHAnsi" w:eastAsia="Times New Roman" w:hAnsiTheme="minorHAnsi" w:cstheme="minorHAnsi"/>
          <w:color w:val="000000"/>
        </w:rPr>
        <w:t>.</w:t>
      </w:r>
    </w:p>
    <w:p w14:paraId="3C3EF4DC" w14:textId="23E74459" w:rsidR="00070A64" w:rsidRDefault="00070A64" w:rsidP="00070A64">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t>Current health expenditure (% of GDP)</w:t>
      </w:r>
      <w:r w:rsidR="00D735A7">
        <w:rPr>
          <w:rFonts w:asciiTheme="minorHAnsi" w:eastAsia="Times New Roman" w:hAnsiTheme="minorHAnsi" w:cstheme="minorHAnsi"/>
          <w:color w:val="000000"/>
        </w:rPr>
        <w:t>: l</w:t>
      </w:r>
      <w:r w:rsidR="00D735A7" w:rsidRPr="00D735A7">
        <w:rPr>
          <w:rFonts w:asciiTheme="minorHAnsi" w:eastAsia="Times New Roman" w:hAnsiTheme="minorHAnsi" w:cstheme="minorHAnsi"/>
          <w:color w:val="000000"/>
        </w:rPr>
        <w:t>evel of current health expenditure expressed as a percentage of GDP</w:t>
      </w:r>
      <w:r w:rsidR="00D735A7">
        <w:rPr>
          <w:rFonts w:asciiTheme="minorHAnsi" w:eastAsia="Times New Roman" w:hAnsiTheme="minorHAnsi" w:cstheme="minorHAnsi"/>
          <w:color w:val="000000"/>
        </w:rPr>
        <w:t>.</w:t>
      </w:r>
    </w:p>
    <w:p w14:paraId="4877A85F" w14:textId="20F52991" w:rsidR="00070A64" w:rsidRDefault="00070A64" w:rsidP="00070A64">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t>Wage and salaried workers, total (% of total employment) (modeled ILO estimate)</w:t>
      </w:r>
      <w:r w:rsidR="00D735A7">
        <w:rPr>
          <w:rFonts w:asciiTheme="minorHAnsi" w:eastAsia="Times New Roman" w:hAnsiTheme="minorHAnsi" w:cstheme="minorHAnsi"/>
          <w:color w:val="000000"/>
        </w:rPr>
        <w:t xml:space="preserve">: percentage of </w:t>
      </w:r>
      <w:r w:rsidR="00D735A7" w:rsidRPr="00D735A7">
        <w:rPr>
          <w:rFonts w:asciiTheme="minorHAnsi" w:eastAsia="Times New Roman" w:hAnsiTheme="minorHAnsi" w:cstheme="minorHAnsi"/>
          <w:color w:val="000000"/>
        </w:rPr>
        <w:t>those workers who hold the type of jobs defined as "paid employment jobs," where the incumbents hold explicit (written or oral) or implicit employment contracts that give them a basic remuneration that is not directly dependent upon the revenue of the unit for which they work.</w:t>
      </w:r>
    </w:p>
    <w:p w14:paraId="1CBE7E6B" w14:textId="184AC01D" w:rsidR="00070A64" w:rsidRDefault="00070A64" w:rsidP="00070A64">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t>Urban population</w:t>
      </w:r>
      <w:r w:rsidR="00D735A7">
        <w:rPr>
          <w:rFonts w:asciiTheme="minorHAnsi" w:eastAsia="Times New Roman" w:hAnsiTheme="minorHAnsi" w:cstheme="minorHAnsi"/>
          <w:color w:val="000000"/>
        </w:rPr>
        <w:t xml:space="preserve">: </w:t>
      </w:r>
      <w:r w:rsidR="00D735A7" w:rsidRPr="00D735A7">
        <w:rPr>
          <w:rFonts w:asciiTheme="minorHAnsi" w:eastAsia="Times New Roman" w:hAnsiTheme="minorHAnsi" w:cstheme="minorHAnsi"/>
          <w:color w:val="000000"/>
        </w:rPr>
        <w:t>people living in urban areas as defined by national statistical offices.</w:t>
      </w:r>
    </w:p>
    <w:p w14:paraId="4ADBDF19" w14:textId="5E56B33C" w:rsidR="00070A64" w:rsidRDefault="00070A64" w:rsidP="00070A64">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t>Unemployment, total (% of total labor force) (national estimate)</w:t>
      </w:r>
      <w:r w:rsidR="00D735A7">
        <w:rPr>
          <w:rFonts w:asciiTheme="minorHAnsi" w:eastAsia="Times New Roman" w:hAnsiTheme="minorHAnsi" w:cstheme="minorHAnsi"/>
          <w:color w:val="000000"/>
        </w:rPr>
        <w:t xml:space="preserve">: </w:t>
      </w:r>
      <w:r w:rsidR="00D735A7" w:rsidRPr="00D735A7">
        <w:rPr>
          <w:rFonts w:asciiTheme="minorHAnsi" w:eastAsia="Times New Roman" w:hAnsiTheme="minorHAnsi" w:cstheme="minorHAnsi"/>
          <w:color w:val="000000"/>
        </w:rPr>
        <w:t>share of the labor force that is without work but available for and seeking employment</w:t>
      </w:r>
      <w:r w:rsidR="00D735A7">
        <w:rPr>
          <w:rFonts w:asciiTheme="minorHAnsi" w:eastAsia="Times New Roman" w:hAnsiTheme="minorHAnsi" w:cstheme="minorHAnsi"/>
          <w:color w:val="000000"/>
        </w:rPr>
        <w:t>.</w:t>
      </w:r>
    </w:p>
    <w:p w14:paraId="6A6C432C" w14:textId="6B614DFF" w:rsidR="00070A64" w:rsidRDefault="00070A64" w:rsidP="00070A64">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t>Tuberculosis case detection rate (%, all forms)</w:t>
      </w:r>
      <w:r w:rsidR="00D735A7">
        <w:rPr>
          <w:rFonts w:asciiTheme="minorHAnsi" w:eastAsia="Times New Roman" w:hAnsiTheme="minorHAnsi" w:cstheme="minorHAnsi"/>
          <w:color w:val="000000"/>
        </w:rPr>
        <w:t xml:space="preserve">: </w:t>
      </w:r>
      <w:r w:rsidR="00D735A7" w:rsidRPr="00D735A7">
        <w:rPr>
          <w:rFonts w:asciiTheme="minorHAnsi" w:eastAsia="Times New Roman" w:hAnsiTheme="minorHAnsi" w:cstheme="minorHAnsi"/>
          <w:color w:val="000000"/>
        </w:rPr>
        <w:t xml:space="preserve">number of new and relapse tuberculosis cases notified to WHO </w:t>
      </w:r>
      <w:proofErr w:type="gramStart"/>
      <w:r w:rsidR="00D735A7" w:rsidRPr="00D735A7">
        <w:rPr>
          <w:rFonts w:asciiTheme="minorHAnsi" w:eastAsia="Times New Roman" w:hAnsiTheme="minorHAnsi" w:cstheme="minorHAnsi"/>
          <w:color w:val="000000"/>
        </w:rPr>
        <w:t>in a given year</w:t>
      </w:r>
      <w:proofErr w:type="gramEnd"/>
      <w:r w:rsidR="00D735A7" w:rsidRPr="00D735A7">
        <w:rPr>
          <w:rFonts w:asciiTheme="minorHAnsi" w:eastAsia="Times New Roman" w:hAnsiTheme="minorHAnsi" w:cstheme="minorHAnsi"/>
          <w:color w:val="000000"/>
        </w:rPr>
        <w:t>, divided by WHO's estimate of the number of incident tuberculosis cases for the same year, expressed as a percentage</w:t>
      </w:r>
      <w:r w:rsidR="00D735A7">
        <w:rPr>
          <w:rFonts w:asciiTheme="minorHAnsi" w:eastAsia="Times New Roman" w:hAnsiTheme="minorHAnsi" w:cstheme="minorHAnsi"/>
          <w:color w:val="000000"/>
        </w:rPr>
        <w:t>.</w:t>
      </w:r>
    </w:p>
    <w:p w14:paraId="180F7148" w14:textId="4117634D" w:rsidR="00070A64" w:rsidRDefault="00070A64" w:rsidP="00070A64">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t>Trade (% of GDP)</w:t>
      </w:r>
      <w:r w:rsidR="00D735A7">
        <w:rPr>
          <w:rFonts w:asciiTheme="minorHAnsi" w:eastAsia="Times New Roman" w:hAnsiTheme="minorHAnsi" w:cstheme="minorHAnsi"/>
          <w:color w:val="000000"/>
        </w:rPr>
        <w:t xml:space="preserve">: </w:t>
      </w:r>
      <w:r w:rsidR="00D735A7" w:rsidRPr="00D735A7">
        <w:rPr>
          <w:rFonts w:asciiTheme="minorHAnsi" w:eastAsia="Times New Roman" w:hAnsiTheme="minorHAnsi" w:cstheme="minorHAnsi"/>
          <w:color w:val="000000"/>
        </w:rPr>
        <w:t>sum of exports and imports of goods and services measured as a share of gross domestic product</w:t>
      </w:r>
      <w:r w:rsidR="00D735A7">
        <w:rPr>
          <w:rFonts w:asciiTheme="minorHAnsi" w:eastAsia="Times New Roman" w:hAnsiTheme="minorHAnsi" w:cstheme="minorHAnsi"/>
          <w:color w:val="000000"/>
        </w:rPr>
        <w:t>.</w:t>
      </w:r>
    </w:p>
    <w:p w14:paraId="1457BB10" w14:textId="0F837900" w:rsidR="00070A64" w:rsidRDefault="00070A64" w:rsidP="00070A64">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lastRenderedPageBreak/>
        <w:t>Surface area (sq. km)</w:t>
      </w:r>
      <w:r w:rsidR="00D735A7">
        <w:rPr>
          <w:rFonts w:asciiTheme="minorHAnsi" w:eastAsia="Times New Roman" w:hAnsiTheme="minorHAnsi" w:cstheme="minorHAnsi"/>
          <w:color w:val="000000"/>
        </w:rPr>
        <w:t xml:space="preserve">: </w:t>
      </w:r>
      <w:r w:rsidR="00D735A7" w:rsidRPr="00D735A7">
        <w:rPr>
          <w:rFonts w:asciiTheme="minorHAnsi" w:eastAsia="Times New Roman" w:hAnsiTheme="minorHAnsi" w:cstheme="minorHAnsi"/>
          <w:color w:val="000000"/>
        </w:rPr>
        <w:t>country's total area, including areas under inland bodies of water and some coastal waterways.</w:t>
      </w:r>
    </w:p>
    <w:p w14:paraId="40B42201" w14:textId="15093632" w:rsidR="00070A64" w:rsidRDefault="00070A64" w:rsidP="00070A64">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t>Share of youth not in education, employment or training, total (% of youth population) (modeled ILO estimate)</w:t>
      </w:r>
      <w:r w:rsidR="00D735A7">
        <w:rPr>
          <w:rFonts w:asciiTheme="minorHAnsi" w:eastAsia="Times New Roman" w:hAnsiTheme="minorHAnsi" w:cstheme="minorHAnsi"/>
          <w:color w:val="000000"/>
        </w:rPr>
        <w:t>:</w:t>
      </w:r>
      <w:r w:rsidR="00F90D98">
        <w:rPr>
          <w:rFonts w:asciiTheme="minorHAnsi" w:eastAsia="Times New Roman" w:hAnsiTheme="minorHAnsi" w:cstheme="minorHAnsi"/>
          <w:color w:val="000000"/>
        </w:rPr>
        <w:t xml:space="preserve"> </w:t>
      </w:r>
      <w:r w:rsidR="00F90D98" w:rsidRPr="00F90D98">
        <w:rPr>
          <w:rFonts w:asciiTheme="minorHAnsi" w:eastAsia="Times New Roman" w:hAnsiTheme="minorHAnsi" w:cstheme="minorHAnsi"/>
          <w:color w:val="000000"/>
        </w:rPr>
        <w:t>proportion of young people who are not in education, employment, or training to the population of the corresponding age group: youth (ages 15 to 24); persons ages 15 to 29; or both age groups.</w:t>
      </w:r>
    </w:p>
    <w:p w14:paraId="263389D3" w14:textId="65A1B366" w:rsidR="00070A64" w:rsidRDefault="00070A64" w:rsidP="00070A64">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t>School enrollment, primary (% net)</w:t>
      </w:r>
      <w:proofErr w:type="gramStart"/>
      <w:r w:rsidR="00F90D98">
        <w:rPr>
          <w:rFonts w:asciiTheme="minorHAnsi" w:eastAsia="Times New Roman" w:hAnsiTheme="minorHAnsi" w:cstheme="minorHAnsi"/>
          <w:color w:val="000000"/>
        </w:rPr>
        <w:t xml:space="preserve">: </w:t>
      </w:r>
      <w:r w:rsidR="00F90D98" w:rsidRPr="00F90D98">
        <w:rPr>
          <w:rFonts w:asciiTheme="minorHAnsi" w:eastAsia="Times New Roman" w:hAnsiTheme="minorHAnsi" w:cstheme="minorHAnsi"/>
          <w:color w:val="000000"/>
        </w:rPr>
        <w:t> ratio</w:t>
      </w:r>
      <w:proofErr w:type="gramEnd"/>
      <w:r w:rsidR="00F90D98" w:rsidRPr="00F90D98">
        <w:rPr>
          <w:rFonts w:asciiTheme="minorHAnsi" w:eastAsia="Times New Roman" w:hAnsiTheme="minorHAnsi" w:cstheme="minorHAnsi"/>
          <w:color w:val="000000"/>
        </w:rPr>
        <w:t xml:space="preserve"> of children of official school age who are enrolled in school to the population of the corresponding official school age. Primary education provides children with basic reading, writing, and mathematics skills along with an elementary understanding of such subjects as history, geography, natural science, social science, art, and music.</w:t>
      </w:r>
    </w:p>
    <w:p w14:paraId="2C5BC9C5" w14:textId="4FA636F8" w:rsidR="00070A64" w:rsidRDefault="00070A64" w:rsidP="00070A64">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t>Rural population</w:t>
      </w:r>
      <w:r w:rsidR="00F90D98">
        <w:rPr>
          <w:rFonts w:asciiTheme="minorHAnsi" w:eastAsia="Times New Roman" w:hAnsiTheme="minorHAnsi" w:cstheme="minorHAnsi"/>
          <w:color w:val="000000"/>
        </w:rPr>
        <w:t xml:space="preserve">: </w:t>
      </w:r>
      <w:r w:rsidR="00F90D98" w:rsidRPr="00F90D98">
        <w:rPr>
          <w:rFonts w:asciiTheme="minorHAnsi" w:eastAsia="Times New Roman" w:hAnsiTheme="minorHAnsi" w:cstheme="minorHAnsi"/>
          <w:color w:val="000000"/>
        </w:rPr>
        <w:t>people living in rural areas as defined by national statistical offices. It is calculated as the difference between total population and urban population.</w:t>
      </w:r>
    </w:p>
    <w:p w14:paraId="7B907B9E" w14:textId="79DCECA9" w:rsidR="00070A64" w:rsidRDefault="00070A64" w:rsidP="00070A64">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t>Rule of Law Estimate</w:t>
      </w:r>
      <w:r w:rsidR="00F90D98">
        <w:rPr>
          <w:rFonts w:asciiTheme="minorHAnsi" w:eastAsia="Times New Roman" w:hAnsiTheme="minorHAnsi" w:cstheme="minorHAnsi"/>
          <w:color w:val="000000"/>
        </w:rPr>
        <w:t xml:space="preserve">: </w:t>
      </w:r>
      <w:r w:rsidR="00F90D98" w:rsidRPr="00F90D98">
        <w:rPr>
          <w:rFonts w:asciiTheme="minorHAnsi" w:eastAsia="Times New Roman" w:hAnsiTheme="minorHAnsi" w:cstheme="minorHAnsi"/>
          <w:color w:val="000000"/>
        </w:rPr>
        <w:t>perceptions of the extent to which agents have confidence in and abide by the rules of society, and in particular the quality of contract enforcement, property rights, the police, and the courts, as well as the likelihood of crime and violence. </w:t>
      </w:r>
    </w:p>
    <w:p w14:paraId="21EAFA50" w14:textId="271DDF2D" w:rsidR="00070A64" w:rsidRPr="00070A64" w:rsidRDefault="00070A64" w:rsidP="00070A64">
      <w:pPr>
        <w:pStyle w:val="ListParagraph"/>
        <w:numPr>
          <w:ilvl w:val="0"/>
          <w:numId w:val="12"/>
        </w:numPr>
        <w:spacing w:after="0" w:line="240" w:lineRule="auto"/>
        <w:rPr>
          <w:rFonts w:asciiTheme="minorHAnsi" w:eastAsia="Times New Roman" w:hAnsiTheme="minorHAnsi" w:cstheme="minorHAnsi"/>
          <w:color w:val="000000"/>
        </w:rPr>
      </w:pPr>
      <w:r w:rsidRPr="00070A64">
        <w:rPr>
          <w:rFonts w:asciiTheme="minorHAnsi" w:eastAsia="Times New Roman" w:hAnsiTheme="minorHAnsi" w:cstheme="minorHAnsi"/>
          <w:color w:val="000000"/>
        </w:rPr>
        <w:t>Rail lines (total route-km)</w:t>
      </w:r>
      <w:r w:rsidR="00F90D98">
        <w:rPr>
          <w:rFonts w:asciiTheme="minorHAnsi" w:eastAsia="Times New Roman" w:hAnsiTheme="minorHAnsi" w:cstheme="minorHAnsi"/>
          <w:color w:val="000000"/>
        </w:rPr>
        <w:t xml:space="preserve">: </w:t>
      </w:r>
      <w:r w:rsidR="00F90D98" w:rsidRPr="00F90D98">
        <w:rPr>
          <w:rFonts w:asciiTheme="minorHAnsi" w:eastAsia="Times New Roman" w:hAnsiTheme="minorHAnsi" w:cstheme="minorHAnsi"/>
          <w:color w:val="000000"/>
        </w:rPr>
        <w:t>length of railway route available for train service, irrespective of the number of parallel tracks.</w:t>
      </w:r>
    </w:p>
    <w:p w14:paraId="1485BFAA" w14:textId="30A1A2F8" w:rsidR="00070A64" w:rsidRPr="00070A64" w:rsidRDefault="00070A64" w:rsidP="00070A64">
      <w:pPr>
        <w:spacing w:after="0" w:line="240" w:lineRule="auto"/>
        <w:rPr>
          <w:rFonts w:ascii="Aptos Narrow" w:eastAsia="Times New Roman" w:hAnsi="Aptos Narrow" w:cs="Times New Roman"/>
          <w:color w:val="000000"/>
        </w:rPr>
      </w:pPr>
    </w:p>
    <w:sectPr w:rsidR="00070A64" w:rsidRPr="00070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97B88"/>
    <w:multiLevelType w:val="hybridMultilevel"/>
    <w:tmpl w:val="E8BE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16D1A"/>
    <w:multiLevelType w:val="hybridMultilevel"/>
    <w:tmpl w:val="B99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754464">
    <w:abstractNumId w:val="9"/>
  </w:num>
  <w:num w:numId="2" w16cid:durableId="1020474099">
    <w:abstractNumId w:val="7"/>
  </w:num>
  <w:num w:numId="3" w16cid:durableId="2073892969">
    <w:abstractNumId w:val="6"/>
  </w:num>
  <w:num w:numId="4" w16cid:durableId="1156072863">
    <w:abstractNumId w:val="5"/>
  </w:num>
  <w:num w:numId="5" w16cid:durableId="1315262566">
    <w:abstractNumId w:val="4"/>
  </w:num>
  <w:num w:numId="6" w16cid:durableId="569194284">
    <w:abstractNumId w:val="8"/>
  </w:num>
  <w:num w:numId="7" w16cid:durableId="599026617">
    <w:abstractNumId w:val="3"/>
  </w:num>
  <w:num w:numId="8" w16cid:durableId="247427666">
    <w:abstractNumId w:val="2"/>
  </w:num>
  <w:num w:numId="9" w16cid:durableId="1412658097">
    <w:abstractNumId w:val="1"/>
  </w:num>
  <w:num w:numId="10" w16cid:durableId="874585758">
    <w:abstractNumId w:val="0"/>
  </w:num>
  <w:num w:numId="11" w16cid:durableId="810631993">
    <w:abstractNumId w:val="10"/>
  </w:num>
  <w:num w:numId="12" w16cid:durableId="14587177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712571304416"/>
    <w:docVar w:name="VerbatimVersion" w:val="5.0"/>
  </w:docVars>
  <w:rsids>
    <w:rsidRoot w:val="00070A64"/>
    <w:rsid w:val="000139A3"/>
    <w:rsid w:val="00070A64"/>
    <w:rsid w:val="00100833"/>
    <w:rsid w:val="00104529"/>
    <w:rsid w:val="00177B7D"/>
    <w:rsid w:val="0018322D"/>
    <w:rsid w:val="001B5776"/>
    <w:rsid w:val="00251FC7"/>
    <w:rsid w:val="002855A7"/>
    <w:rsid w:val="00315690"/>
    <w:rsid w:val="00325646"/>
    <w:rsid w:val="003347C4"/>
    <w:rsid w:val="003902BA"/>
    <w:rsid w:val="003A09E2"/>
    <w:rsid w:val="003E2A2A"/>
    <w:rsid w:val="0040498A"/>
    <w:rsid w:val="00407037"/>
    <w:rsid w:val="004605D6"/>
    <w:rsid w:val="004C60E8"/>
    <w:rsid w:val="004E3579"/>
    <w:rsid w:val="004F39E0"/>
    <w:rsid w:val="00537BD5"/>
    <w:rsid w:val="006065BD"/>
    <w:rsid w:val="00665003"/>
    <w:rsid w:val="007F5B66"/>
    <w:rsid w:val="00823A1C"/>
    <w:rsid w:val="00845B9D"/>
    <w:rsid w:val="00860984"/>
    <w:rsid w:val="008B3ECB"/>
    <w:rsid w:val="008C1B2E"/>
    <w:rsid w:val="0091627E"/>
    <w:rsid w:val="009E1922"/>
    <w:rsid w:val="00A93661"/>
    <w:rsid w:val="00A95652"/>
    <w:rsid w:val="00B33C6D"/>
    <w:rsid w:val="00B4508F"/>
    <w:rsid w:val="00B8057C"/>
    <w:rsid w:val="00BF593B"/>
    <w:rsid w:val="00C83417"/>
    <w:rsid w:val="00CD2EB5"/>
    <w:rsid w:val="00CD736E"/>
    <w:rsid w:val="00CE161E"/>
    <w:rsid w:val="00CF59A8"/>
    <w:rsid w:val="00D325A9"/>
    <w:rsid w:val="00D36A8A"/>
    <w:rsid w:val="00D71170"/>
    <w:rsid w:val="00D735A7"/>
    <w:rsid w:val="00DA6538"/>
    <w:rsid w:val="00ED30CF"/>
    <w:rsid w:val="00F176EF"/>
    <w:rsid w:val="00F51AC4"/>
    <w:rsid w:val="00F90D98"/>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6B0C"/>
  <w15:chartTrackingRefBased/>
  <w15:docId w15:val="{E31F72FB-8A05-4471-B9B8-EEF46F6A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70A64"/>
    <w:rPr>
      <w:rFonts w:ascii="Calibri" w:hAnsi="Calibri" w:cs="Calibri"/>
    </w:rPr>
  </w:style>
  <w:style w:type="paragraph" w:styleId="Heading1">
    <w:name w:val="heading 1"/>
    <w:aliases w:val="Pocket"/>
    <w:basedOn w:val="Normal"/>
    <w:next w:val="Normal"/>
    <w:link w:val="Heading1Char"/>
    <w:autoRedefine/>
    <w:qFormat/>
    <w:rsid w:val="00070A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070A6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070A6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070A6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unhideWhenUsed/>
    <w:rsid w:val="00070A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0A64"/>
  </w:style>
  <w:style w:type="character" w:customStyle="1" w:styleId="Heading1Char">
    <w:name w:val="Heading 1 Char"/>
    <w:aliases w:val="Pocket Char"/>
    <w:basedOn w:val="DefaultParagraphFont"/>
    <w:link w:val="Heading1"/>
    <w:rsid w:val="00070A6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70A6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70A64"/>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70A64"/>
    <w:rPr>
      <w:rFonts w:ascii="Calibri" w:eastAsiaTheme="majorEastAsia" w:hAnsi="Calibri" w:cstheme="majorBidi"/>
      <w:b/>
      <w:iCs/>
      <w:sz w:val="26"/>
    </w:rPr>
  </w:style>
  <w:style w:type="character" w:styleId="Emphasis">
    <w:name w:val="Emphasis"/>
    <w:basedOn w:val="DefaultParagraphFont"/>
    <w:uiPriority w:val="7"/>
    <w:qFormat/>
    <w:rsid w:val="00070A64"/>
    <w:rPr>
      <w:rFonts w:ascii="Calibri" w:hAnsi="Calibri" w:cs="Calibri"/>
      <w:b/>
      <w:i w:val="0"/>
      <w:iCs/>
      <w:sz w:val="22"/>
      <w:u w:val="single"/>
      <w:bdr w:val="single" w:sz="8" w:space="0" w:color="auto"/>
    </w:rPr>
  </w:style>
  <w:style w:type="character" w:customStyle="1" w:styleId="Style13ptBold">
    <w:name w:val="Style 13 pt Bold"/>
    <w:aliases w:val="Cite"/>
    <w:basedOn w:val="DefaultParagraphFont"/>
    <w:uiPriority w:val="5"/>
    <w:qFormat/>
    <w:rsid w:val="00070A64"/>
    <w:rPr>
      <w:b/>
      <w:bCs/>
      <w:sz w:val="26"/>
      <w:u w:val="none"/>
    </w:rPr>
  </w:style>
  <w:style w:type="character" w:customStyle="1" w:styleId="StyleUnderline">
    <w:name w:val="Style Underline"/>
    <w:aliases w:val="Underline"/>
    <w:basedOn w:val="DefaultParagraphFont"/>
    <w:uiPriority w:val="6"/>
    <w:qFormat/>
    <w:rsid w:val="00070A64"/>
    <w:rPr>
      <w:b w:val="0"/>
      <w:sz w:val="22"/>
      <w:u w:val="single"/>
    </w:rPr>
  </w:style>
  <w:style w:type="character" w:styleId="Hyperlink">
    <w:name w:val="Hyperlink"/>
    <w:basedOn w:val="DefaultParagraphFont"/>
    <w:uiPriority w:val="99"/>
    <w:semiHidden/>
    <w:unhideWhenUsed/>
    <w:rsid w:val="00070A64"/>
    <w:rPr>
      <w:color w:val="auto"/>
      <w:u w:val="none"/>
    </w:rPr>
  </w:style>
  <w:style w:type="character" w:styleId="FollowedHyperlink">
    <w:name w:val="FollowedHyperlink"/>
    <w:basedOn w:val="DefaultParagraphFont"/>
    <w:uiPriority w:val="99"/>
    <w:semiHidden/>
    <w:unhideWhenUsed/>
    <w:rsid w:val="00070A64"/>
    <w:rPr>
      <w:color w:val="auto"/>
      <w:u w:val="none"/>
    </w:rPr>
  </w:style>
  <w:style w:type="paragraph" w:styleId="ListParagraph">
    <w:name w:val="List Paragraph"/>
    <w:basedOn w:val="Normal"/>
    <w:uiPriority w:val="99"/>
    <w:unhideWhenUsed/>
    <w:qFormat/>
    <w:rsid w:val="00070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95366">
      <w:bodyDiv w:val="1"/>
      <w:marLeft w:val="0"/>
      <w:marRight w:val="0"/>
      <w:marTop w:val="0"/>
      <w:marBottom w:val="0"/>
      <w:divBdr>
        <w:top w:val="none" w:sz="0" w:space="0" w:color="auto"/>
        <w:left w:val="none" w:sz="0" w:space="0" w:color="auto"/>
        <w:bottom w:val="none" w:sz="0" w:space="0" w:color="auto"/>
        <w:right w:val="none" w:sz="0" w:space="0" w:color="auto"/>
      </w:divBdr>
    </w:div>
    <w:div w:id="215750095">
      <w:bodyDiv w:val="1"/>
      <w:marLeft w:val="0"/>
      <w:marRight w:val="0"/>
      <w:marTop w:val="0"/>
      <w:marBottom w:val="0"/>
      <w:divBdr>
        <w:top w:val="none" w:sz="0" w:space="0" w:color="auto"/>
        <w:left w:val="none" w:sz="0" w:space="0" w:color="auto"/>
        <w:bottom w:val="none" w:sz="0" w:space="0" w:color="auto"/>
        <w:right w:val="none" w:sz="0" w:space="0" w:color="auto"/>
      </w:divBdr>
    </w:div>
    <w:div w:id="467283220">
      <w:bodyDiv w:val="1"/>
      <w:marLeft w:val="0"/>
      <w:marRight w:val="0"/>
      <w:marTop w:val="0"/>
      <w:marBottom w:val="0"/>
      <w:divBdr>
        <w:top w:val="none" w:sz="0" w:space="0" w:color="auto"/>
        <w:left w:val="none" w:sz="0" w:space="0" w:color="auto"/>
        <w:bottom w:val="none" w:sz="0" w:space="0" w:color="auto"/>
        <w:right w:val="none" w:sz="0" w:space="0" w:color="auto"/>
      </w:divBdr>
    </w:div>
    <w:div w:id="540745574">
      <w:bodyDiv w:val="1"/>
      <w:marLeft w:val="0"/>
      <w:marRight w:val="0"/>
      <w:marTop w:val="0"/>
      <w:marBottom w:val="0"/>
      <w:divBdr>
        <w:top w:val="none" w:sz="0" w:space="0" w:color="auto"/>
        <w:left w:val="none" w:sz="0" w:space="0" w:color="auto"/>
        <w:bottom w:val="none" w:sz="0" w:space="0" w:color="auto"/>
        <w:right w:val="none" w:sz="0" w:space="0" w:color="auto"/>
      </w:divBdr>
    </w:div>
    <w:div w:id="540823993">
      <w:bodyDiv w:val="1"/>
      <w:marLeft w:val="0"/>
      <w:marRight w:val="0"/>
      <w:marTop w:val="0"/>
      <w:marBottom w:val="0"/>
      <w:divBdr>
        <w:top w:val="none" w:sz="0" w:space="0" w:color="auto"/>
        <w:left w:val="none" w:sz="0" w:space="0" w:color="auto"/>
        <w:bottom w:val="none" w:sz="0" w:space="0" w:color="auto"/>
        <w:right w:val="none" w:sz="0" w:space="0" w:color="auto"/>
      </w:divBdr>
    </w:div>
    <w:div w:id="618951984">
      <w:bodyDiv w:val="1"/>
      <w:marLeft w:val="0"/>
      <w:marRight w:val="0"/>
      <w:marTop w:val="0"/>
      <w:marBottom w:val="0"/>
      <w:divBdr>
        <w:top w:val="none" w:sz="0" w:space="0" w:color="auto"/>
        <w:left w:val="none" w:sz="0" w:space="0" w:color="auto"/>
        <w:bottom w:val="none" w:sz="0" w:space="0" w:color="auto"/>
        <w:right w:val="none" w:sz="0" w:space="0" w:color="auto"/>
      </w:divBdr>
    </w:div>
    <w:div w:id="631209906">
      <w:bodyDiv w:val="1"/>
      <w:marLeft w:val="0"/>
      <w:marRight w:val="0"/>
      <w:marTop w:val="0"/>
      <w:marBottom w:val="0"/>
      <w:divBdr>
        <w:top w:val="none" w:sz="0" w:space="0" w:color="auto"/>
        <w:left w:val="none" w:sz="0" w:space="0" w:color="auto"/>
        <w:bottom w:val="none" w:sz="0" w:space="0" w:color="auto"/>
        <w:right w:val="none" w:sz="0" w:space="0" w:color="auto"/>
      </w:divBdr>
    </w:div>
    <w:div w:id="740761538">
      <w:bodyDiv w:val="1"/>
      <w:marLeft w:val="0"/>
      <w:marRight w:val="0"/>
      <w:marTop w:val="0"/>
      <w:marBottom w:val="0"/>
      <w:divBdr>
        <w:top w:val="none" w:sz="0" w:space="0" w:color="auto"/>
        <w:left w:val="none" w:sz="0" w:space="0" w:color="auto"/>
        <w:bottom w:val="none" w:sz="0" w:space="0" w:color="auto"/>
        <w:right w:val="none" w:sz="0" w:space="0" w:color="auto"/>
      </w:divBdr>
    </w:div>
    <w:div w:id="757363071">
      <w:bodyDiv w:val="1"/>
      <w:marLeft w:val="0"/>
      <w:marRight w:val="0"/>
      <w:marTop w:val="0"/>
      <w:marBottom w:val="0"/>
      <w:divBdr>
        <w:top w:val="none" w:sz="0" w:space="0" w:color="auto"/>
        <w:left w:val="none" w:sz="0" w:space="0" w:color="auto"/>
        <w:bottom w:val="none" w:sz="0" w:space="0" w:color="auto"/>
        <w:right w:val="none" w:sz="0" w:space="0" w:color="auto"/>
      </w:divBdr>
    </w:div>
    <w:div w:id="827329226">
      <w:bodyDiv w:val="1"/>
      <w:marLeft w:val="0"/>
      <w:marRight w:val="0"/>
      <w:marTop w:val="0"/>
      <w:marBottom w:val="0"/>
      <w:divBdr>
        <w:top w:val="none" w:sz="0" w:space="0" w:color="auto"/>
        <w:left w:val="none" w:sz="0" w:space="0" w:color="auto"/>
        <w:bottom w:val="none" w:sz="0" w:space="0" w:color="auto"/>
        <w:right w:val="none" w:sz="0" w:space="0" w:color="auto"/>
      </w:divBdr>
    </w:div>
    <w:div w:id="919294445">
      <w:bodyDiv w:val="1"/>
      <w:marLeft w:val="0"/>
      <w:marRight w:val="0"/>
      <w:marTop w:val="0"/>
      <w:marBottom w:val="0"/>
      <w:divBdr>
        <w:top w:val="none" w:sz="0" w:space="0" w:color="auto"/>
        <w:left w:val="none" w:sz="0" w:space="0" w:color="auto"/>
        <w:bottom w:val="none" w:sz="0" w:space="0" w:color="auto"/>
        <w:right w:val="none" w:sz="0" w:space="0" w:color="auto"/>
      </w:divBdr>
      <w:divsChild>
        <w:div w:id="1689940428">
          <w:marLeft w:val="0"/>
          <w:marRight w:val="0"/>
          <w:marTop w:val="0"/>
          <w:marBottom w:val="0"/>
          <w:divBdr>
            <w:top w:val="none" w:sz="0" w:space="0" w:color="auto"/>
            <w:left w:val="none" w:sz="0" w:space="0" w:color="auto"/>
            <w:bottom w:val="none" w:sz="0" w:space="0" w:color="auto"/>
            <w:right w:val="none" w:sz="0" w:space="0" w:color="auto"/>
          </w:divBdr>
          <w:divsChild>
            <w:div w:id="15328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2085">
      <w:bodyDiv w:val="1"/>
      <w:marLeft w:val="0"/>
      <w:marRight w:val="0"/>
      <w:marTop w:val="0"/>
      <w:marBottom w:val="0"/>
      <w:divBdr>
        <w:top w:val="none" w:sz="0" w:space="0" w:color="auto"/>
        <w:left w:val="none" w:sz="0" w:space="0" w:color="auto"/>
        <w:bottom w:val="none" w:sz="0" w:space="0" w:color="auto"/>
        <w:right w:val="none" w:sz="0" w:space="0" w:color="auto"/>
      </w:divBdr>
    </w:div>
    <w:div w:id="1078668963">
      <w:bodyDiv w:val="1"/>
      <w:marLeft w:val="0"/>
      <w:marRight w:val="0"/>
      <w:marTop w:val="0"/>
      <w:marBottom w:val="0"/>
      <w:divBdr>
        <w:top w:val="none" w:sz="0" w:space="0" w:color="auto"/>
        <w:left w:val="none" w:sz="0" w:space="0" w:color="auto"/>
        <w:bottom w:val="none" w:sz="0" w:space="0" w:color="auto"/>
        <w:right w:val="none" w:sz="0" w:space="0" w:color="auto"/>
      </w:divBdr>
    </w:div>
    <w:div w:id="1123572916">
      <w:bodyDiv w:val="1"/>
      <w:marLeft w:val="0"/>
      <w:marRight w:val="0"/>
      <w:marTop w:val="0"/>
      <w:marBottom w:val="0"/>
      <w:divBdr>
        <w:top w:val="none" w:sz="0" w:space="0" w:color="auto"/>
        <w:left w:val="none" w:sz="0" w:space="0" w:color="auto"/>
        <w:bottom w:val="none" w:sz="0" w:space="0" w:color="auto"/>
        <w:right w:val="none" w:sz="0" w:space="0" w:color="auto"/>
      </w:divBdr>
    </w:div>
    <w:div w:id="1150295315">
      <w:bodyDiv w:val="1"/>
      <w:marLeft w:val="0"/>
      <w:marRight w:val="0"/>
      <w:marTop w:val="0"/>
      <w:marBottom w:val="0"/>
      <w:divBdr>
        <w:top w:val="none" w:sz="0" w:space="0" w:color="auto"/>
        <w:left w:val="none" w:sz="0" w:space="0" w:color="auto"/>
        <w:bottom w:val="none" w:sz="0" w:space="0" w:color="auto"/>
        <w:right w:val="none" w:sz="0" w:space="0" w:color="auto"/>
      </w:divBdr>
    </w:div>
    <w:div w:id="1231385102">
      <w:bodyDiv w:val="1"/>
      <w:marLeft w:val="0"/>
      <w:marRight w:val="0"/>
      <w:marTop w:val="0"/>
      <w:marBottom w:val="0"/>
      <w:divBdr>
        <w:top w:val="none" w:sz="0" w:space="0" w:color="auto"/>
        <w:left w:val="none" w:sz="0" w:space="0" w:color="auto"/>
        <w:bottom w:val="none" w:sz="0" w:space="0" w:color="auto"/>
        <w:right w:val="none" w:sz="0" w:space="0" w:color="auto"/>
      </w:divBdr>
    </w:div>
    <w:div w:id="1250235226">
      <w:bodyDiv w:val="1"/>
      <w:marLeft w:val="0"/>
      <w:marRight w:val="0"/>
      <w:marTop w:val="0"/>
      <w:marBottom w:val="0"/>
      <w:divBdr>
        <w:top w:val="none" w:sz="0" w:space="0" w:color="auto"/>
        <w:left w:val="none" w:sz="0" w:space="0" w:color="auto"/>
        <w:bottom w:val="none" w:sz="0" w:space="0" w:color="auto"/>
        <w:right w:val="none" w:sz="0" w:space="0" w:color="auto"/>
      </w:divBdr>
    </w:div>
    <w:div w:id="1273047669">
      <w:bodyDiv w:val="1"/>
      <w:marLeft w:val="0"/>
      <w:marRight w:val="0"/>
      <w:marTop w:val="0"/>
      <w:marBottom w:val="0"/>
      <w:divBdr>
        <w:top w:val="none" w:sz="0" w:space="0" w:color="auto"/>
        <w:left w:val="none" w:sz="0" w:space="0" w:color="auto"/>
        <w:bottom w:val="none" w:sz="0" w:space="0" w:color="auto"/>
        <w:right w:val="none" w:sz="0" w:space="0" w:color="auto"/>
      </w:divBdr>
    </w:div>
    <w:div w:id="1524441581">
      <w:bodyDiv w:val="1"/>
      <w:marLeft w:val="0"/>
      <w:marRight w:val="0"/>
      <w:marTop w:val="0"/>
      <w:marBottom w:val="0"/>
      <w:divBdr>
        <w:top w:val="none" w:sz="0" w:space="0" w:color="auto"/>
        <w:left w:val="none" w:sz="0" w:space="0" w:color="auto"/>
        <w:bottom w:val="none" w:sz="0" w:space="0" w:color="auto"/>
        <w:right w:val="none" w:sz="0" w:space="0" w:color="auto"/>
      </w:divBdr>
    </w:div>
    <w:div w:id="1621450464">
      <w:bodyDiv w:val="1"/>
      <w:marLeft w:val="0"/>
      <w:marRight w:val="0"/>
      <w:marTop w:val="0"/>
      <w:marBottom w:val="0"/>
      <w:divBdr>
        <w:top w:val="none" w:sz="0" w:space="0" w:color="auto"/>
        <w:left w:val="none" w:sz="0" w:space="0" w:color="auto"/>
        <w:bottom w:val="none" w:sz="0" w:space="0" w:color="auto"/>
        <w:right w:val="none" w:sz="0" w:space="0" w:color="auto"/>
      </w:divBdr>
    </w:div>
    <w:div w:id="1791433355">
      <w:bodyDiv w:val="1"/>
      <w:marLeft w:val="0"/>
      <w:marRight w:val="0"/>
      <w:marTop w:val="0"/>
      <w:marBottom w:val="0"/>
      <w:divBdr>
        <w:top w:val="none" w:sz="0" w:space="0" w:color="auto"/>
        <w:left w:val="none" w:sz="0" w:space="0" w:color="auto"/>
        <w:bottom w:val="none" w:sz="0" w:space="0" w:color="auto"/>
        <w:right w:val="none" w:sz="0" w:space="0" w:color="auto"/>
      </w:divBdr>
    </w:div>
    <w:div w:id="1920016451">
      <w:bodyDiv w:val="1"/>
      <w:marLeft w:val="0"/>
      <w:marRight w:val="0"/>
      <w:marTop w:val="0"/>
      <w:marBottom w:val="0"/>
      <w:divBdr>
        <w:top w:val="none" w:sz="0" w:space="0" w:color="auto"/>
        <w:left w:val="none" w:sz="0" w:space="0" w:color="auto"/>
        <w:bottom w:val="none" w:sz="0" w:space="0" w:color="auto"/>
        <w:right w:val="none" w:sz="0" w:space="0" w:color="auto"/>
      </w:divBdr>
    </w:div>
    <w:div w:id="1934782951">
      <w:bodyDiv w:val="1"/>
      <w:marLeft w:val="0"/>
      <w:marRight w:val="0"/>
      <w:marTop w:val="0"/>
      <w:marBottom w:val="0"/>
      <w:divBdr>
        <w:top w:val="none" w:sz="0" w:space="0" w:color="auto"/>
        <w:left w:val="none" w:sz="0" w:space="0" w:color="auto"/>
        <w:bottom w:val="none" w:sz="0" w:space="0" w:color="auto"/>
        <w:right w:val="none" w:sz="0" w:space="0" w:color="auto"/>
      </w:divBdr>
    </w:div>
    <w:div w:id="1950618648">
      <w:bodyDiv w:val="1"/>
      <w:marLeft w:val="0"/>
      <w:marRight w:val="0"/>
      <w:marTop w:val="0"/>
      <w:marBottom w:val="0"/>
      <w:divBdr>
        <w:top w:val="none" w:sz="0" w:space="0" w:color="auto"/>
        <w:left w:val="none" w:sz="0" w:space="0" w:color="auto"/>
        <w:bottom w:val="none" w:sz="0" w:space="0" w:color="auto"/>
        <w:right w:val="none" w:sz="0" w:space="0" w:color="auto"/>
      </w:divBdr>
      <w:divsChild>
        <w:div w:id="404954217">
          <w:marLeft w:val="0"/>
          <w:marRight w:val="0"/>
          <w:marTop w:val="0"/>
          <w:marBottom w:val="0"/>
          <w:divBdr>
            <w:top w:val="none" w:sz="0" w:space="0" w:color="auto"/>
            <w:left w:val="none" w:sz="0" w:space="0" w:color="auto"/>
            <w:bottom w:val="none" w:sz="0" w:space="0" w:color="auto"/>
            <w:right w:val="none" w:sz="0" w:space="0" w:color="auto"/>
          </w:divBdr>
          <w:divsChild>
            <w:div w:id="9926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sr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33</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Lobo</dc:creator>
  <cp:keywords>5.0</cp:keywords>
  <dc:description/>
  <cp:lastModifiedBy>Lucas Lobo</cp:lastModifiedBy>
  <cp:revision>1</cp:revision>
  <cp:lastPrinted>2025-04-29T01:56:00Z</cp:lastPrinted>
  <dcterms:created xsi:type="dcterms:W3CDTF">2025-04-29T01:24:00Z</dcterms:created>
  <dcterms:modified xsi:type="dcterms:W3CDTF">2025-04-29T01:57:00Z</dcterms:modified>
</cp:coreProperties>
</file>