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Highlights</w:t>
      </w:r>
    </w:p>
    <w:p>
      <w:pPr>
        <w:pStyle w:val="ListBullet"/>
      </w:pPr>
      <w:r>
        <w:t>The HMAC signature is only 2.2 µs of a 29.9 µs JWT validation in jsonwebtoken</w:t>
      </w:r>
    </w:p>
    <w:p>
      <w:pPr>
        <w:pStyle w:val="ListBullet"/>
      </w:pPr>
      <w:r>
        <w:t>A discarded asymmetric key parse, run before authentication, takes 60% of it</w:t>
      </w:r>
    </w:p>
    <w:p>
      <w:pPr>
        <w:pStyle w:val="ListBullet"/>
      </w:pPr>
      <w:r>
        <w:t>It arrived with a key-confusion fix; removing it naively breaks that defence</w:t>
      </w:r>
    </w:p>
    <w:p>
      <w:pPr>
        <w:pStyle w:val="ListBullet"/>
      </w:pPr>
      <w:r>
        <w:t>The same parse costs 394 µs on OpenSSL 3.0.16 and 8.4 µs on 3.5.8, causally</w:t>
      </w:r>
    </w:p>
    <w:p>
      <w:pPr>
        <w:pStyle w:val="ListBullet"/>
      </w:pPr>
      <w:r>
        <w:t>Only a pre-parsed key removes it for all inputs; 0 of 327 call sites do this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