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f400ecbc06b0f9033e63f5507b9758477e651b6"/>
    <w:p>
      <w:pPr>
        <w:pStyle w:val="Heading1"/>
      </w:pPr>
      <w:r>
        <w:t xml:space="preserve">ED Pipeline: Advice‑only UI Gate (MLP/CatBoost) + SPC Monitoring</w:t>
      </w:r>
    </w:p>
    <w:p>
      <w:pPr>
        <w:pStyle w:val="BlockText"/>
      </w:pPr>
      <w:r>
        <w:rPr>
          <w:b/>
          <w:bCs/>
        </w:rPr>
        <w:t xml:space="preserve">Tagline:</w:t>
      </w:r>
      <w:r>
        <w:t xml:space="preserve"> </w:t>
      </w:r>
      <w:r>
        <w:rPr>
          <w:i/>
          <w:iCs/>
        </w:rPr>
        <w:t xml:space="preserve">Clinician‑engineer: FastAPI, SQLite, scikit‑learn; advice‑only orchestration for ED workflows.</w:t>
      </w:r>
    </w:p>
    <w:p>
      <w:r>
        <w:pict>
          <v:rect style="width:0;height:1.5pt" o:hralign="center" o:hrstd="t" o:hr="t"/>
        </w:pict>
      </w:r>
    </w:p>
    <w:bookmarkStart w:id="20" w:name="why"/>
    <w:p>
      <w:pPr>
        <w:pStyle w:val="Heading2"/>
      </w:pPr>
      <w:r>
        <w:t xml:space="preserve">Why</w:t>
      </w:r>
    </w:p>
    <w:p>
      <w:pPr>
        <w:pStyle w:val="FirstParagraph"/>
      </w:pPr>
      <w:r>
        <w:t xml:space="preserve">A small, auditable pipeline that surfaces</w:t>
      </w:r>
      <w:r>
        <w:t xml:space="preserve"> </w:t>
      </w:r>
      <w:r>
        <w:rPr>
          <w:b/>
          <w:bCs/>
        </w:rPr>
        <w:t xml:space="preserve">non‑binding suggestions</w:t>
      </w:r>
      <w:r>
        <w:t xml:space="preserve"> </w:t>
      </w:r>
      <w:r>
        <w:t xml:space="preserve">to ED staff. No autonomous actions. Built for transparency, reproducibility, and easy rollback.</w:t>
      </w:r>
    </w:p>
    <w:bookmarkEnd w:id="20"/>
    <w:bookmarkStart w:id="21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Advice‑only UI gate</w:t>
      </w:r>
      <w:r>
        <w:t xml:space="preserve"> </w:t>
      </w:r>
      <w:r>
        <w:t xml:space="preserve">with calibrated probability threshold (τ) set by</w:t>
      </w:r>
      <w:r>
        <w:t xml:space="preserve"> </w:t>
      </w:r>
      <w:r>
        <w:rPr>
          <w:b/>
          <w:bCs/>
        </w:rPr>
        <w:t xml:space="preserve">recall floor + FP/hour budget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Models:</w:t>
      </w:r>
      <w:r>
        <w:t xml:space="preserve"> </w:t>
      </w:r>
      <w:r>
        <w:t xml:space="preserve">MLP (64→32, ReLU, dropout 0.1) and</w:t>
      </w:r>
      <w:r>
        <w:t xml:space="preserve"> </w:t>
      </w:r>
      <w:r>
        <w:rPr>
          <w:b/>
          <w:bCs/>
        </w:rPr>
        <w:t xml:space="preserve">CatBoost</w:t>
      </w:r>
      <w:r>
        <w:t xml:space="preserve"> </w:t>
      </w:r>
      <w:r>
        <w:t xml:space="preserve">as a strong tabular baseline.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Labels for the target KPI are being finalized →</w:t>
      </w:r>
      <w:r>
        <w:t xml:space="preserve"> </w:t>
      </w:r>
      <w:r>
        <w:rPr>
          <w:b/>
          <w:bCs/>
        </w:rPr>
        <w:t xml:space="preserve">MLP/CatBoost heads are wired but not trained on final labels yet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Evaluation (once labels land):</w:t>
      </w:r>
      <w:r>
        <w:t xml:space="preserve"> </w:t>
      </w:r>
      <w:r>
        <w:t xml:space="preserve">5× CV; metrics:</w:t>
      </w:r>
      <w:r>
        <w:t xml:space="preserve"> </w:t>
      </w:r>
      <w:r>
        <w:rPr>
          <w:b/>
          <w:bCs/>
        </w:rPr>
        <w:t xml:space="preserve">AUPRC/AUROC/ECE</w:t>
      </w:r>
      <w:r>
        <w:t xml:space="preserve">, confusion at operating point;</w:t>
      </w:r>
      <w:r>
        <w:t xml:space="preserve"> </w:t>
      </w:r>
      <w:r>
        <w:rPr>
          <w:b/>
          <w:bCs/>
        </w:rPr>
        <w:t xml:space="preserve">isotonic calibration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Monitoring:</w:t>
      </w:r>
      <w:r>
        <w:t xml:space="preserve"> </w:t>
      </w:r>
      <w:r>
        <w:rPr>
          <w:b/>
          <w:bCs/>
        </w:rPr>
        <w:t xml:space="preserve">SPC</w:t>
      </w:r>
      <w:r>
        <w:t xml:space="preserve"> </w:t>
      </w:r>
      <w:r>
        <w:t xml:space="preserve">(Shewhart for proposal rate;</w:t>
      </w:r>
      <w:r>
        <w:t xml:space="preserve"> </w:t>
      </w:r>
      <w:r>
        <w:rPr>
          <w:b/>
          <w:bCs/>
        </w:rPr>
        <w:t xml:space="preserve">EWMA</w:t>
      </w:r>
      <w:r>
        <w:t xml:space="preserve"> </w:t>
      </w:r>
      <w:r>
        <w:t xml:space="preserve">for fatigue/acceptance drift). Alerts are review prompts, not actions.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Local‑first &amp; auditable:</w:t>
      </w:r>
      <w:r>
        <w:t xml:space="preserve"> </w:t>
      </w:r>
      <w:r>
        <w:t xml:space="preserve">Runs on local machine;</w:t>
      </w:r>
      <w:r>
        <w:t xml:space="preserve"> </w:t>
      </w:r>
      <w:r>
        <w:rPr>
          <w:b/>
          <w:bCs/>
        </w:rPr>
        <w:t xml:space="preserve">JSONL audit logs</w:t>
      </w:r>
      <w:r>
        <w:t xml:space="preserve">; artifacts saved (bundle, features, calibration, report).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Separation of concerns:</w:t>
      </w:r>
      <w:r>
        <w:t xml:space="preserve"> </w:t>
      </w:r>
      <w:r>
        <w:t xml:space="preserve">Staff/patient</w:t>
      </w:r>
      <w:r>
        <w:t xml:space="preserve"> </w:t>
      </w:r>
      <w:r>
        <w:rPr>
          <w:b/>
          <w:bCs/>
        </w:rPr>
        <w:t xml:space="preserve">LLM assistant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separate service</w:t>
      </w:r>
      <w:r>
        <w:t xml:space="preserve"> </w:t>
      </w:r>
      <w:r>
        <w:t xml:space="preserve">to keep this prediction pipeline clean.</w:t>
      </w:r>
    </w:p>
    <w:bookmarkEnd w:id="21"/>
    <w:bookmarkStart w:id="22" w:name="architecture-simplified"/>
    <w:p>
      <w:pPr>
        <w:pStyle w:val="Heading2"/>
      </w:pPr>
      <w:r>
        <w:t xml:space="preserve">Architecture (simplified)</w:t>
      </w:r>
    </w:p>
    <w:p>
      <w:pPr>
        <w:pStyle w:val="SourceCode"/>
      </w:pPr>
      <w:r>
        <w:rPr>
          <w:rStyle w:val="VerbatimChar"/>
        </w:rPr>
        <w:t xml:space="preserve">[Data source (public demo)] → [Feature builder] → [Model head: MLP | CatBoost]</w:t>
      </w:r>
      <w:r>
        <w:br/>
      </w:r>
      <w:r>
        <w:rPr>
          <w:rStyle w:val="VerbatimChar"/>
        </w:rPr>
        <w:t xml:space="preserve">         ↓                                        |</w:t>
      </w:r>
      <w:r>
        <w:br/>
      </w:r>
      <w:r>
        <w:rPr>
          <w:rStyle w:val="VerbatimChar"/>
        </w:rPr>
        <w:t xml:space="preserve">     JSONL logs  ←  [Calibration + Threshold τ] ←  |</w:t>
      </w:r>
      <w:r>
        <w:br/>
      </w:r>
      <w:r>
        <w:rPr>
          <w:rStyle w:val="VerbatimChar"/>
        </w:rPr>
        <w:t xml:space="preserve">         ↓                                        ↓</w:t>
      </w:r>
      <w:r>
        <w:br/>
      </w:r>
      <w:r>
        <w:rPr>
          <w:rStyle w:val="VerbatimChar"/>
        </w:rPr>
        <w:t xml:space="preserve">    [SPC monitors: Shewhart/EWMA] ——→ [UI Gate (advice‑only)] ——→ User</w:t>
      </w:r>
    </w:p>
    <w:bookmarkEnd w:id="22"/>
    <w:bookmarkStart w:id="23" w:name="quickstart"/>
    <w:p>
      <w:pPr>
        <w:pStyle w:val="Heading2"/>
      </w:pPr>
      <w:r>
        <w:t xml:space="preserve">Quickstart</w:t>
      </w:r>
    </w:p>
    <w:p>
      <w:pPr>
        <w:pStyle w:val="SourceCode"/>
      </w:pPr>
      <w:r>
        <w:rPr>
          <w:rStyle w:val="CommentTok"/>
        </w:rPr>
        <w:t xml:space="preserve"># 1) create env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</w:t>
      </w:r>
      <w:r>
        <w:rPr>
          <w:rStyle w:val="CommentTok"/>
        </w:rPr>
        <w:t xml:space="preserve"># Windows: .venv\Scripts\activate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2) run preflight / smoke tests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scripts/preflight.py  </w:t>
      </w:r>
      <w:r>
        <w:rPr>
          <w:rStyle w:val="CommentTok"/>
        </w:rPr>
        <w:t xml:space="preserve"># checks data path, config, seeds</w:t>
      </w:r>
      <w:r>
        <w:br/>
      </w:r>
      <w:r>
        <w:br/>
      </w:r>
      <w:r>
        <w:rPr>
          <w:rStyle w:val="CommentTok"/>
        </w:rPr>
        <w:t xml:space="preserve"># 3) run the UI gate (dry‑run until labels are ready)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app.py </w:t>
      </w:r>
      <w:r>
        <w:rPr>
          <w:rStyle w:val="AttributeTok"/>
        </w:rPr>
        <w:t xml:space="preserve">--run-ui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emits audit logs + SPC charts</w:t>
      </w:r>
      <w:r>
        <w:br/>
      </w:r>
      <w:r>
        <w:br/>
      </w:r>
      <w:r>
        <w:rPr>
          <w:rStyle w:val="CommentTok"/>
        </w:rPr>
        <w:t xml:space="preserve"># 4) train once labels.csv is available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pipeline/train.py </w:t>
      </w:r>
      <w:r>
        <w:rPr>
          <w:rStyle w:val="AttributeTok"/>
        </w:rPr>
        <w:t xml:space="preserve">--labels</w:t>
      </w:r>
      <w:r>
        <w:rPr>
          <w:rStyle w:val="NormalTok"/>
        </w:rPr>
        <w:t xml:space="preserve"> data/labels.csv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configs/pipeline.yml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pipeline/eval.py   </w:t>
      </w:r>
      <w:r>
        <w:rPr>
          <w:rStyle w:val="AttributeTok"/>
        </w:rPr>
        <w:t xml:space="preserve">--bundle</w:t>
      </w:r>
      <w:r>
        <w:rPr>
          <w:rStyle w:val="NormalTok"/>
        </w:rPr>
        <w:t xml:space="preserve"> artifacts/run_YYYYMMDDHHMM</w:t>
      </w:r>
    </w:p>
    <w:bookmarkEnd w:id="23"/>
    <w:bookmarkStart w:id="24" w:name="config-snippet-configspipeline.yml"/>
    <w:p>
      <w:pPr>
        <w:pStyle w:val="Heading2"/>
      </w:pPr>
      <w:r>
        <w:t xml:space="preserve">Config snippet (</w:t>
      </w:r>
      <w:r>
        <w:rPr>
          <w:rStyle w:val="VerbatimChar"/>
        </w:rPr>
        <w:t xml:space="preserve">configs/pipeline.yml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seed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triage_acuity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vitals_last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meds_flags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dx_flags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thresholds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0.42</w:t>
      </w:r>
      <w:r>
        <w:rPr>
          <w:rStyle w:val="CommentTok"/>
        </w:rPr>
        <w:t xml:space="preserve">          # operating point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recall_floor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0.85</w:t>
      </w:r>
      <w:r>
        <w:rPr>
          <w:rStyle w:val="CommentTok"/>
        </w:rPr>
        <w:t xml:space="preserve"> # used to select tau during CV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fp_per_hour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rPr>
          <w:rStyle w:val="CommentTok"/>
        </w:rPr>
        <w:t xml:space="preserve">   # budget for UI proposals</w:t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catboost</w:t>
      </w:r>
      <w:r>
        <w:rPr>
          <w:rStyle w:val="CommentTok"/>
        </w:rPr>
        <w:t xml:space="preserve">     # or mlp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mlp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hidden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64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dropout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1e-3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epochs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catboost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learning_rate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iterations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class_weights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calibration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isotonic</w:t>
      </w:r>
      <w:r>
        <w:br/>
      </w:r>
      <w:r>
        <w:rPr>
          <w:rStyle w:val="FunctionTok"/>
        </w:rPr>
        <w:t xml:space="preserve">spc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shewhart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ewma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alpha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2.7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jsonl_path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logs/events.jsonl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artifacts_dir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artifacts/</w:t>
      </w:r>
      <w:r>
        <w:br/>
      </w:r>
      <w:r>
        <w:rPr>
          <w:rStyle w:val="FunctionTok"/>
        </w:rPr>
        <w:t xml:space="preserve">flags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RUN_UI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RUN_PIPELINE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24"/>
    <w:bookmarkStart w:id="25" w:name="ab-protocol-once-labels-land"/>
    <w:p>
      <w:pPr>
        <w:pStyle w:val="Heading2"/>
      </w:pPr>
      <w:r>
        <w:t xml:space="preserve">A/B protocol (once labels land)</w:t>
      </w:r>
    </w:p>
    <w:p>
      <w:pPr>
        <w:pStyle w:val="Compact"/>
        <w:numPr>
          <w:ilvl w:val="0"/>
          <w:numId w:val="1002"/>
        </w:numPr>
      </w:pPr>
      <w:r>
        <w:t xml:space="preserve">Fix seeds/deps; freeze feature set.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5× CV to select τ under</w:t>
      </w:r>
      <w:r>
        <w:t xml:space="preserve"> </w:t>
      </w:r>
      <w:r>
        <w:rPr>
          <w:b/>
          <w:bCs/>
        </w:rPr>
        <w:t xml:space="preserve">recall_floor + FP/hour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Compare</w:t>
      </w:r>
      <w:r>
        <w:t xml:space="preserve"> </w:t>
      </w:r>
      <w:r>
        <w:rPr>
          <w:b/>
          <w:bCs/>
        </w:rPr>
        <w:t xml:space="preserve">CatBoost vs MLP</w:t>
      </w:r>
      <w:r>
        <w:t xml:space="preserve"> </w:t>
      </w:r>
      <w:r>
        <w:t xml:space="preserve">at the selected τ on a held‑out fold.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Save: metrics.json, calibration curves, confusion tables, SPC baselines.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Roll forward the winner behind the</w:t>
      </w:r>
      <w:r>
        <w:t xml:space="preserve"> </w:t>
      </w:r>
      <w:r>
        <w:rPr>
          <w:b/>
          <w:bCs/>
        </w:rPr>
        <w:t xml:space="preserve">UI gate</w:t>
      </w:r>
      <w:r>
        <w:t xml:space="preserve"> </w:t>
      </w:r>
      <w:r>
        <w:t xml:space="preserve">only.</w:t>
      </w:r>
    </w:p>
    <w:bookmarkEnd w:id="25"/>
    <w:bookmarkStart w:id="26" w:name="monitoring-ops"/>
    <w:p>
      <w:pPr>
        <w:pStyle w:val="Heading2"/>
      </w:pPr>
      <w:r>
        <w:t xml:space="preserve">Monitoring &amp; Ops</w:t>
      </w:r>
    </w:p>
    <w:p>
      <w:pPr>
        <w:pStyle w:val="Compact"/>
        <w:numPr>
          <w:ilvl w:val="0"/>
          <w:numId w:val="1003"/>
        </w:numPr>
      </w:pPr>
      <w:r>
        <w:t xml:space="preserve">SPC baselines recomputed monthly; drift triggers review PRs.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Audit logs are append‑only JSONL; include inputs, version, τ, scores, UI outcome.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Preflight blocks start if config/schema mismatch.</w:t>
      </w:r>
    </w:p>
    <w:bookmarkEnd w:id="26"/>
    <w:bookmarkStart w:id="27" w:name="data-privacy"/>
    <w:p>
      <w:pPr>
        <w:pStyle w:val="Heading2"/>
      </w:pPr>
      <w:r>
        <w:t xml:space="preserve">Data &amp; Privacy</w:t>
      </w:r>
    </w:p>
    <w:p>
      <w:pPr>
        <w:pStyle w:val="Compact"/>
        <w:numPr>
          <w:ilvl w:val="0"/>
          <w:numId w:val="1004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public, de‑identified demo data</w:t>
      </w:r>
      <w:r>
        <w:t xml:space="preserve"> </w:t>
      </w:r>
      <w:r>
        <w:t xml:space="preserve">for development; no PHI leaves the machine.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For real deployments, wire hospital sources in a separate, private repo/environment.</w:t>
      </w:r>
    </w:p>
    <w:bookmarkEnd w:id="27"/>
    <w:bookmarkStart w:id="28" w:name="repo-layout-suggested"/>
    <w:p>
      <w:pPr>
        <w:pStyle w:val="Heading2"/>
      </w:pPr>
      <w:r>
        <w:t xml:space="preserve">Repo layout (suggested)</w:t>
      </w:r>
    </w:p>
    <w:p>
      <w:pPr>
        <w:pStyle w:val="SourceCode"/>
      </w:pPr>
      <w:r>
        <w:rPr>
          <w:rStyle w:val="VerbatimChar"/>
        </w:rPr>
        <w:t xml:space="preserve">notebooks/  # pipeline-activated-ui-gate-mlp-spc.ipynb, ed-pipeline-demo-ui-patched.ipynb</w:t>
      </w:r>
      <w:r>
        <w:br/>
      </w:r>
      <w:r>
        <w:rPr>
          <w:rStyle w:val="VerbatimChar"/>
        </w:rPr>
        <w:t xml:space="preserve">pipeline/   # train.py, eval.py, calibrate.py, features.py</w:t>
      </w:r>
      <w:r>
        <w:br/>
      </w:r>
      <w:r>
        <w:rPr>
          <w:rStyle w:val="VerbatimChar"/>
        </w:rPr>
        <w:t xml:space="preserve">app/        # app.py, routers/ui_gate.py</w:t>
      </w:r>
      <w:r>
        <w:br/>
      </w:r>
      <w:r>
        <w:rPr>
          <w:rStyle w:val="VerbatimChar"/>
        </w:rPr>
        <w:t xml:space="preserve">monitoring/ # spc.py, charts/</w:t>
      </w:r>
      <w:r>
        <w:br/>
      </w:r>
      <w:r>
        <w:rPr>
          <w:rStyle w:val="VerbatimChar"/>
        </w:rPr>
        <w:t xml:space="preserve">configs/    # pipeline.yml, thresholds.yml</w:t>
      </w:r>
      <w:r>
        <w:br/>
      </w:r>
      <w:r>
        <w:rPr>
          <w:rStyle w:val="VerbatimChar"/>
        </w:rPr>
        <w:t xml:space="preserve">scripts/    # preflight.py, smoke_test.py</w:t>
      </w:r>
      <w:r>
        <w:br/>
      </w:r>
      <w:r>
        <w:rPr>
          <w:rStyle w:val="VerbatimChar"/>
        </w:rPr>
        <w:t xml:space="preserve">artifacts/  # saved bundles</w:t>
      </w:r>
      <w:r>
        <w:br/>
      </w:r>
      <w:r>
        <w:rPr>
          <w:rStyle w:val="VerbatimChar"/>
        </w:rPr>
        <w:t xml:space="preserve">logs/       # JSONL audit logs</w:t>
      </w:r>
    </w:p>
    <w:bookmarkEnd w:id="28"/>
    <w:bookmarkStart w:id="29" w:name="status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05"/>
        </w:numPr>
      </w:pPr>
      <w:r>
        <w:t xml:space="preserve">Labels: in progress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Gate: active in dry‑run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SPC: wired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Next: label finalization → CV+calibration →</w:t>
      </w:r>
      <w:r>
        <w:t xml:space="preserve"> </w:t>
      </w:r>
      <w:r>
        <w:rPr>
          <w:b/>
          <w:bCs/>
        </w:rPr>
        <w:t xml:space="preserve">A/B MLP vs CatBoost</w:t>
      </w:r>
    </w:p>
    <w:bookmarkEnd w:id="29"/>
    <w:bookmarkStart w:id="30" w:name="license-citation"/>
    <w:p>
      <w:pPr>
        <w:pStyle w:val="Heading2"/>
      </w:pPr>
      <w:r>
        <w:t xml:space="preserve">License &amp; Citation</w:t>
      </w:r>
    </w:p>
    <w:p>
      <w:pPr>
        <w:pStyle w:val="FirstParagraph"/>
      </w:pPr>
      <w:r>
        <w:t xml:space="preserve">Choose a permissive license (e.g., MIT/Apache‑2.0).</w:t>
      </w:r>
      <w:r>
        <w:br/>
      </w:r>
      <w:r>
        <w:t xml:space="preserve">If you use this work, please cite:</w:t>
      </w:r>
      <w:r>
        <w:t xml:space="preserve"> </w:t>
      </w:r>
      <w:r>
        <w:rPr>
          <w:i/>
          <w:iCs/>
        </w:rPr>
        <w:t xml:space="preserve">Jacoby K.</w:t>
      </w:r>
      <w:r>
        <w:rPr>
          <w:i/>
          <w:iCs/>
        </w:rPr>
        <w:t xml:space="preserve"> </w:t>
      </w:r>
      <w:r>
        <w:rPr>
          <w:i/>
          <w:iCs/>
        </w:rPr>
        <w:t xml:space="preserve">“ED Pipeline: Advice‑only UI Gate with SPC”</w:t>
      </w:r>
      <w:r>
        <w:rPr>
          <w:i/>
          <w:iCs/>
        </w:rPr>
        <w:t xml:space="preserve"> </w:t>
      </w:r>
      <w:r>
        <w:rPr>
          <w:i/>
          <w:iCs/>
        </w:rPr>
        <w:t xml:space="preserve">(2025).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2025-09-12T19:44:16Z</dcterms:created>
  <dcterms:modified xsi:type="dcterms:W3CDTF">2025-09-12T19:44:16Z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