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E563" w14:textId="18E5F8A3" w:rsidR="00D60EDD" w:rsidRPr="00CC54F2" w:rsidRDefault="00D60EDD" w:rsidP="007D0BFC">
      <w:pPr>
        <w:spacing w:before="100" w:after="100"/>
        <w:ind w:firstLine="0"/>
        <w:jc w:val="center"/>
        <w:rPr>
          <w:sz w:val="24"/>
          <w:szCs w:val="24"/>
        </w:rPr>
      </w:pPr>
      <w:r w:rsidRPr="003F2381">
        <w:rPr>
          <w:b/>
          <w:bCs/>
          <w:sz w:val="24"/>
          <w:szCs w:val="24"/>
        </w:rPr>
        <w:t xml:space="preserve">Parameters in the </w:t>
      </w:r>
      <w:r>
        <w:rPr>
          <w:b/>
          <w:bCs/>
          <w:sz w:val="24"/>
          <w:szCs w:val="24"/>
        </w:rPr>
        <w:t>S</w:t>
      </w:r>
      <w:r w:rsidRPr="003F2381">
        <w:rPr>
          <w:b/>
          <w:bCs/>
          <w:sz w:val="24"/>
          <w:szCs w:val="24"/>
        </w:rPr>
        <w:t>imulation</w:t>
      </w:r>
    </w:p>
    <w:p w14:paraId="3A57350C" w14:textId="1D6F733A" w:rsidR="00D1381F" w:rsidRPr="009B195B" w:rsidRDefault="00C75D30" w:rsidP="009B195B">
      <w:pPr>
        <w:rPr>
          <w:rFonts w:cs="Times New Roman"/>
          <w:color w:val="000000" w:themeColor="text1"/>
          <w:szCs w:val="20"/>
        </w:rPr>
      </w:pPr>
      <w:r w:rsidRPr="00C75D30">
        <w:rPr>
          <w:rFonts w:cs="Times New Roman"/>
          <w:color w:val="000000" w:themeColor="text1"/>
          <w:szCs w:val="20"/>
        </w:rPr>
        <w:t xml:space="preserve">The simulations are implemented on Python with </w:t>
      </w:r>
      <w:proofErr w:type="spellStart"/>
      <w:r w:rsidRPr="00C75D30">
        <w:rPr>
          <w:rFonts w:cs="Times New Roman"/>
          <w:color w:val="000000" w:themeColor="text1"/>
          <w:szCs w:val="20"/>
        </w:rPr>
        <w:t>Gurobi</w:t>
      </w:r>
      <w:proofErr w:type="spellEnd"/>
      <w:r w:rsidRPr="00C75D30">
        <w:rPr>
          <w:rFonts w:cs="Times New Roman"/>
          <w:color w:val="000000" w:themeColor="text1"/>
          <w:szCs w:val="20"/>
        </w:rPr>
        <w:t xml:space="preserve"> solver.</w:t>
      </w:r>
      <w:r>
        <w:rPr>
          <w:rFonts w:cs="Times New Roman" w:hint="eastAsia"/>
          <w:color w:val="000000" w:themeColor="text1"/>
          <w:szCs w:val="20"/>
        </w:rPr>
        <w:t xml:space="preserve"> </w:t>
      </w:r>
      <w:r w:rsidR="00370A66" w:rsidRPr="00947000">
        <w:rPr>
          <w:rFonts w:cs="Times New Roman"/>
          <w:color w:val="000000" w:themeColor="text1"/>
          <w:szCs w:val="20"/>
        </w:rPr>
        <w:t>The other parameters in the simulation are as follows:</w:t>
      </w:r>
    </w:p>
    <w:p w14:paraId="72848730" w14:textId="441146AA" w:rsidR="00951FD2" w:rsidRPr="00A63166" w:rsidRDefault="00951FD2" w:rsidP="00951FD2">
      <w:pPr>
        <w:rPr>
          <w:kern w:val="0"/>
          <w:szCs w:val="20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main grid organizes valley filling auxiliary service during the valley price period, the compensation cost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0"/>
                <w:lang w:eastAsia="en-US"/>
                <w14:ligatures w14:val="none"/>
              </w:rPr>
            </m:ctrlPr>
          </m:sSubSupPr>
          <m:e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c</m:t>
            </m:r>
          </m:e>
          <m:sub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t</m:t>
            </m:r>
          </m:sub>
          <m:sup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ps</m:t>
            </m:r>
          </m:sup>
        </m:sSubSup>
      </m:oMath>
      <w:r w:rsidRPr="00A63166">
        <w:rPr>
          <w:rFonts w:hint="eastAsia"/>
          <w:kern w:val="0"/>
          <w:szCs w:val="20"/>
          <w14:ligatures w14:val="none"/>
        </w:rPr>
        <w:t>=</w:t>
      </w:r>
      <w:r w:rsidRPr="00A63166">
        <w:rPr>
          <w:kern w:val="0"/>
          <w:szCs w:val="20"/>
          <w14:ligatures w14:val="none"/>
        </w:rPr>
        <w:t xml:space="preserve">0.4 yuan/kWh. </w:t>
      </w:r>
    </w:p>
    <w:p w14:paraId="7E043177" w14:textId="1486FC62" w:rsidR="00876F19" w:rsidRPr="00A63166" w:rsidRDefault="00D53197" w:rsidP="00876F19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W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>ind power curtailment penalty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wc</m:t>
            </m:r>
          </m:sup>
        </m:sSubSup>
      </m:oMath>
      <w:r w:rsidR="00876F19" w:rsidRPr="00A63166">
        <w:rPr>
          <w:rFonts w:cs="Times New Roman"/>
          <w:iCs/>
        </w:rPr>
        <w:t>=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>0.205 yuan/kWh.</w:t>
      </w:r>
    </w:p>
    <w:p w14:paraId="28993C24" w14:textId="6FBB9D7D" w:rsidR="00876F19" w:rsidRDefault="00876F19" w:rsidP="00876F19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The costs of charging and discharging power for </w:t>
      </w:r>
      <w:r w:rsidR="000E7E27">
        <w:rPr>
          <w:rFonts w:eastAsia="宋体" w:cs="Times New Roman" w:hint="eastAsia"/>
          <w:kern w:val="0"/>
          <w:szCs w:val="20"/>
          <w14:ligatures w14:val="none"/>
        </w:rPr>
        <w:t>MG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w:rPr>
                <w:rFonts w:ascii="Cambria Math" w:hint="eastAsia"/>
              </w:rPr>
              <m:t>mg</m:t>
            </m:r>
            <m:r>
              <m:rPr>
                <m:nor/>
              </m:rPr>
              <m:t>,c</m:t>
            </m:r>
          </m:sup>
        </m:sSubSup>
      </m:oMath>
      <w:r w:rsidRPr="00A63166">
        <w:rPr>
          <w:rFonts w:eastAsia="宋体" w:cs="Times New Roman" w:hint="eastAsia"/>
        </w:rPr>
        <w:t>=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0.1 yuan/kWh,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w:rPr>
                <w:rFonts w:hint="eastAsia"/>
              </w:rPr>
              <m:t>mg</m:t>
            </m:r>
            <m:r>
              <m:rPr>
                <m:nor/>
              </m:rPr>
              <m:t>,d</m:t>
            </m:r>
          </m:sup>
        </m:sSubSup>
      </m:oMath>
      <w:r w:rsidRPr="00A63166">
        <w:rPr>
          <w:rFonts w:eastAsia="宋体" w:cs="Times New Roman" w:hint="eastAsia"/>
        </w:rPr>
        <w:t>=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1.25 yuan/kWh.</w:t>
      </w:r>
    </w:p>
    <w:p w14:paraId="1D9175B2" w14:textId="4B958ECF" w:rsidR="00951FD2" w:rsidRPr="00A63166" w:rsidRDefault="00951FD2" w:rsidP="00951FD2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bookmarkStart w:id="0" w:name="OLE_LINK56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penalty prices for deviation in</w:t>
      </w:r>
      <w:bookmarkEnd w:id="0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energy market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0"/>
                <w:lang w:eastAsia="en-US"/>
                <w14:ligatures w14:val="none"/>
              </w:rPr>
            </m:ctrlPr>
          </m:sSubSupPr>
          <m:e>
            <m:r>
              <m:rPr>
                <m:nor/>
              </m:rPr>
              <w:rPr>
                <w:rFonts w:eastAsia="宋体" w:cs="Times New Roman"/>
                <w:i/>
                <w:iCs/>
                <w:kern w:val="0"/>
                <w:szCs w:val="20"/>
                <w:lang w:eastAsia="en-US"/>
                <w14:ligatures w14:val="none"/>
              </w:rPr>
              <m:t>λ</m:t>
            </m:r>
          </m:e>
          <m:sub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t</m:t>
            </m:r>
          </m:sub>
          <m:sup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e,dev,sup</m:t>
            </m:r>
          </m:sup>
        </m:sSubSup>
      </m:oMath>
      <w:r w:rsidRPr="00A63166">
        <w:rPr>
          <w:rFonts w:eastAsia="宋体" w:cs="Times New Roman"/>
          <w:kern w:val="0"/>
          <w:szCs w:val="20"/>
          <w14:ligatures w14:val="none"/>
        </w:rPr>
        <w:t>=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0"/>
                <w:lang w:eastAsia="en-US"/>
                <w14:ligatures w14:val="none"/>
              </w:rPr>
            </m:ctrlPr>
          </m:sSubSupPr>
          <m:e>
            <m:r>
              <m:rPr>
                <m:nor/>
              </m:rPr>
              <w:rPr>
                <w:rFonts w:eastAsia="宋体" w:cs="Times New Roman"/>
                <w:i/>
                <w:iCs/>
                <w:kern w:val="0"/>
                <w:szCs w:val="20"/>
                <w:lang w:eastAsia="en-US"/>
                <w14:ligatures w14:val="none"/>
              </w:rPr>
              <m:t>λ</m:t>
            </m:r>
          </m:e>
          <m:sub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t</m:t>
            </m:r>
          </m:sub>
          <m:sup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e,dev,ins</m:t>
            </m:r>
          </m:sup>
        </m:sSubSup>
      </m:oMath>
      <w:r w:rsidRPr="00A63166">
        <w:rPr>
          <w:rFonts w:eastAsia="宋体" w:cs="Times New Roman" w:hint="eastAsia"/>
          <w:kern w:val="0"/>
          <w:szCs w:val="20"/>
          <w14:ligatures w14:val="none"/>
        </w:rPr>
        <w:t>=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2 yuan/kWh.</w:t>
      </w:r>
    </w:p>
    <w:p w14:paraId="6D642AAB" w14:textId="35E00824" w:rsidR="00BF02EE" w:rsidRPr="00A63166" w:rsidRDefault="00876F19" w:rsidP="00B7099F"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penalty prices for deviation in peak regulation market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  <w:iCs/>
              </w:rPr>
              <m:t>λ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w:rPr>
                <w:rFonts w:ascii="Cambria Math"/>
              </w:rPr>
              <m:t>p</m:t>
            </m:r>
            <m:r>
              <m:rPr>
                <m:nor/>
              </m:rPr>
              <m:t>,dev</m:t>
            </m:r>
          </m:sup>
        </m:sSubSup>
      </m:oMath>
      <w:r w:rsidRPr="00A63166">
        <w:rPr>
          <w:rFonts w:hint="eastAsia"/>
        </w:rPr>
        <w:t>=</w:t>
      </w:r>
      <w:r w:rsidRPr="00A63166">
        <w:t>0.2 yuan/kWh.</w:t>
      </w:r>
    </w:p>
    <w:p w14:paraId="10ECA551" w14:textId="10A81398" w:rsidR="00D53197" w:rsidRPr="00A63166" w:rsidRDefault="00D53197" w:rsidP="002378DE">
      <w:pPr>
        <w:rPr>
          <w:kern w:val="0"/>
          <w:szCs w:val="20"/>
          <w14:ligatures w14:val="none"/>
        </w:rPr>
      </w:pPr>
      <w:r w:rsidRPr="00A63166">
        <w:t>Comfort loss factor of TCLs</w:t>
      </w:r>
      <w:r w:rsidR="00A63166" w:rsidRPr="00A63166"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sat</m:t>
            </m:r>
          </m:sup>
        </m:sSubSup>
      </m:oMath>
      <w:r w:rsidRPr="00A63166">
        <w:rPr>
          <w:rFonts w:eastAsia="宋体" w:cs="Times New Roman" w:hint="eastAsia"/>
        </w:rPr>
        <w:t>=</w:t>
      </w:r>
      <w:r w:rsidRPr="00A63166">
        <w:rPr>
          <w:rFonts w:eastAsia="宋体" w:cs="Times New Roman"/>
        </w:rPr>
        <w:t xml:space="preserve">0.005 </w:t>
      </w:r>
      <w:r w:rsidRPr="00A63166">
        <w:rPr>
          <w:kern w:val="0"/>
          <w:szCs w:val="20"/>
          <w14:ligatures w14:val="none"/>
        </w:rPr>
        <w:t>yuan/kWh.</w:t>
      </w:r>
    </w:p>
    <w:p w14:paraId="22A6ED0E" w14:textId="1BD76B91" w:rsidR="00D53197" w:rsidRPr="00A63166" w:rsidRDefault="002378DE" w:rsidP="00D53197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t>E</w:t>
      </w:r>
      <w:r w:rsidR="00D53197" w:rsidRPr="00A63166">
        <w:t>nergy compensation factors of TCLs</w:t>
      </w:r>
      <w:r w:rsidR="00A63166" w:rsidRPr="00A63166"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t>:</w:t>
      </w:r>
      <w:r w:rsidR="00D53197" w:rsidRPr="00A6316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tcl,c</m:t>
            </m:r>
          </m:sup>
        </m:sSubSup>
      </m:oMath>
      <w:r w:rsidRPr="00A63166">
        <w:rPr>
          <w:rFonts w:hint="eastAsia"/>
        </w:rPr>
        <w:t>=</w:t>
      </w:r>
      <w:r w:rsidRPr="00A63166">
        <w:t xml:space="preserve">0.25 </w:t>
      </w:r>
      <w:r w:rsidRPr="00A63166">
        <w:rPr>
          <w:kern w:val="0"/>
          <w:szCs w:val="20"/>
          <w14:ligatures w14:val="none"/>
        </w:rPr>
        <w:t>yuan/kWh.</w:t>
      </w:r>
    </w:p>
    <w:p w14:paraId="721DE43C" w14:textId="47239BAD" w:rsidR="00951FD2" w:rsidRPr="00A63166" w:rsidRDefault="00951FD2" w:rsidP="008B6AD7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transformer capacity price for ferroalloy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is 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28 yuan/(</w:t>
      </w:r>
      <w:proofErr w:type="spellStart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kW·month</w:t>
      </w:r>
      <w:proofErr w:type="spellEnd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)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, </w:t>
      </w:r>
      <w:r w:rsidR="00AC265F" w:rsidRPr="00A63166">
        <w:rPr>
          <w:rFonts w:eastAsia="宋体" w:cs="Times New Roman"/>
          <w:kern w:val="0"/>
          <w:szCs w:val="20"/>
          <w:lang w:eastAsia="en-US"/>
          <w14:ligatures w14:val="none"/>
        </w:rPr>
        <w:t>so the daily capacity price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:</w:t>
      </w:r>
      <w:r w:rsidR="00AC265F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proofErr w:type="spellStart"/>
      <w:r w:rsidR="008B6AD7" w:rsidRPr="00A63166">
        <w:rPr>
          <w:i/>
          <w:iCs/>
        </w:rPr>
        <w:t>c</w:t>
      </w:r>
      <w:r w:rsidR="008B6AD7" w:rsidRPr="00A63166">
        <w:rPr>
          <w:vertAlign w:val="superscript"/>
        </w:rPr>
        <w:t>trfe</w:t>
      </w:r>
      <w:proofErr w:type="spellEnd"/>
      <w:r w:rsidR="00CF0EF7" w:rsidRPr="00A63166">
        <w:t>=28/30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yuan/(</w:t>
      </w:r>
      <w:proofErr w:type="spellStart"/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kW·day</w:t>
      </w:r>
      <w:proofErr w:type="spellEnd"/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)</w:t>
      </w:r>
      <w:r w:rsidR="00F05E58" w:rsidRPr="00A63166">
        <w:rPr>
          <w:rFonts w:eastAsia="宋体" w:cs="Times New Roman"/>
          <w:kern w:val="0"/>
          <w:szCs w:val="20"/>
          <w:lang w:eastAsia="en-US"/>
          <w14:ligatures w14:val="none"/>
        </w:rPr>
        <w:t>.</w:t>
      </w:r>
    </w:p>
    <w:p w14:paraId="693D5CCC" w14:textId="2B4D3630" w:rsidR="00951FD2" w:rsidRPr="00CC54F2" w:rsidRDefault="008B6AD7" w:rsidP="00370A66"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tran</w:t>
      </w:r>
      <w:r w:rsidRPr="00CC54F2">
        <w:rPr>
          <w:rFonts w:eastAsia="宋体" w:cs="Times New Roman"/>
          <w:kern w:val="0"/>
          <w:szCs w:val="20"/>
          <w:lang w:eastAsia="en-US"/>
          <w14:ligatures w14:val="none"/>
        </w:rPr>
        <w:t>sformer capacity for ferroalloy:</w:t>
      </w:r>
      <w:r w:rsidRPr="00CC54F2">
        <w:rPr>
          <w:i/>
          <w:iCs/>
        </w:rPr>
        <w:t xml:space="preserve"> </w:t>
      </w:r>
      <w:proofErr w:type="spellStart"/>
      <w:r w:rsidRPr="00CC54F2">
        <w:rPr>
          <w:i/>
          <w:iCs/>
        </w:rPr>
        <w:t>P</w:t>
      </w:r>
      <w:r w:rsidRPr="00CC54F2">
        <w:rPr>
          <w:vertAlign w:val="superscript"/>
        </w:rPr>
        <w:t>Tfe</w:t>
      </w:r>
      <w:proofErr w:type="spellEnd"/>
      <w:r w:rsidRPr="00CC54F2">
        <w:t>=50M</w:t>
      </w:r>
      <w:r w:rsidR="00F05E58" w:rsidRPr="00CC54F2">
        <w:t>VA.</w:t>
      </w:r>
    </w:p>
    <w:p w14:paraId="3BCFF94A" w14:textId="433551F2" w:rsidR="009273A2" w:rsidRDefault="00D1381F" w:rsidP="00A63166">
      <w:r w:rsidRPr="00CC54F2">
        <w:t xml:space="preserve">The minimum daily electricity consumption ratio coefficient for the ferroalloy: </w:t>
      </w:r>
      <w:proofErr w:type="spellStart"/>
      <w:r w:rsidRPr="00CC54F2">
        <w:rPr>
          <w:i/>
          <w:iCs/>
        </w:rPr>
        <w:t>a</w:t>
      </w:r>
      <w:r w:rsidRPr="00CC54F2">
        <w:rPr>
          <w:vertAlign w:val="subscript"/>
        </w:rPr>
        <w:t>fe</w:t>
      </w:r>
      <w:proofErr w:type="spellEnd"/>
      <w:r w:rsidRPr="00CC54F2">
        <w:t>=0.95.</w:t>
      </w:r>
    </w:p>
    <w:p w14:paraId="786B9FD0" w14:textId="23409784" w:rsidR="00267A1B" w:rsidRPr="00324ACA" w:rsidRDefault="00324ACA" w:rsidP="00A63166">
      <w:pPr>
        <w:rPr>
          <w:rFonts w:cs="Times New Roman"/>
        </w:rPr>
      </w:pPr>
      <w:r w:rsidRPr="00324ACA">
        <w:rPr>
          <w:rFonts w:cs="Times New Roman"/>
        </w:rPr>
        <w:t>The electricity price discount coefficient for ferroalloy:</w:t>
      </w:r>
      <w:r w:rsidRPr="00324ACA">
        <w:rPr>
          <w:rFonts w:cs="Times New Roman"/>
          <w:i/>
          <w:iCs/>
        </w:rPr>
        <w:t xml:space="preserve"> </w:t>
      </w:r>
      <w:proofErr w:type="spellStart"/>
      <w:r w:rsidR="00267A1B" w:rsidRPr="00324ACA">
        <w:rPr>
          <w:rFonts w:cs="Times New Roman"/>
          <w:i/>
          <w:iCs/>
        </w:rPr>
        <w:t>k</w:t>
      </w:r>
      <w:r w:rsidR="00267A1B" w:rsidRPr="00324ACA">
        <w:rPr>
          <w:rFonts w:cs="Times New Roman"/>
          <w:vertAlign w:val="subscript"/>
        </w:rPr>
        <w:t>fe</w:t>
      </w:r>
      <w:proofErr w:type="spellEnd"/>
      <w:r w:rsidRPr="00324ACA">
        <w:rPr>
          <w:rFonts w:eastAsia="宋体" w:cs="Times New Roman"/>
        </w:rPr>
        <w:t>=0.5.</w:t>
      </w:r>
    </w:p>
    <w:p w14:paraId="1E9300ED" w14:textId="3024D776" w:rsidR="00D1381F" w:rsidRPr="00CC54F2" w:rsidRDefault="00426C28">
      <w:pPr>
        <w:rPr>
          <w:kern w:val="0"/>
          <w:szCs w:val="20"/>
          <w14:ligatures w14:val="none"/>
        </w:rPr>
      </w:pPr>
      <w:r w:rsidRPr="00CC54F2">
        <w:t>The</w:t>
      </w:r>
      <w:r w:rsidR="009273A2" w:rsidRPr="00CC54F2">
        <w:t xml:space="preserve"> rated power of the ferroalloy </w:t>
      </w:r>
      <w:r w:rsidR="00485945" w:rsidRPr="00CC54F2">
        <w:t xml:space="preserve">at </w:t>
      </w:r>
      <w:r w:rsidR="009273A2" w:rsidRPr="00CC54F2">
        <w:t xml:space="preserve">period </w:t>
      </w:r>
      <w:r w:rsidR="009273A2" w:rsidRPr="00CC54F2">
        <w:rPr>
          <w:i/>
          <w:iCs/>
        </w:rPr>
        <w:t>t</w:t>
      </w:r>
      <w:r w:rsidR="009273A2" w:rsidRPr="00CC54F2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P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w:proofErr w:type="gramStart"/>
            <m:r>
              <m:rPr>
                <m:nor/>
              </m:rPr>
              <m:t>fe,ori</m:t>
            </m:r>
            <w:proofErr w:type="gramEnd"/>
          </m:sup>
        </m:sSubSup>
      </m:oMath>
      <w:r w:rsidR="009273A2" w:rsidRPr="00CC54F2">
        <w:rPr>
          <w:rFonts w:hint="eastAsia"/>
        </w:rPr>
        <w:t>=</w:t>
      </w:r>
      <w:r w:rsidR="009273A2" w:rsidRPr="00CC54F2">
        <w:t xml:space="preserve">50MW. </w:t>
      </w:r>
    </w:p>
    <w:p w14:paraId="08B09439" w14:textId="4EE73FC6" w:rsidR="00426C28" w:rsidRPr="00CC54F2" w:rsidRDefault="009273A2" w:rsidP="00426C28">
      <w:r w:rsidRPr="00CC54F2">
        <w:t xml:space="preserve">The </w:t>
      </w:r>
      <w:r w:rsidRPr="00CC54F2">
        <w:rPr>
          <w:kern w:val="0"/>
          <w:szCs w:val="20"/>
          <w14:ligatures w14:val="none"/>
        </w:rPr>
        <w:t xml:space="preserve">adjustable range of </w:t>
      </w:r>
      <w:r w:rsidRPr="00CC54F2">
        <w:t>the ferroalloy load</w:t>
      </w:r>
      <w:r w:rsidR="00A63166" w:rsidRPr="00CC54F2">
        <w:t xml:space="preserve"> </w:t>
      </w:r>
      <w:r w:rsidR="00485945" w:rsidRPr="00CC54F2">
        <w:t xml:space="preserve">at </w:t>
      </w:r>
      <w:r w:rsidR="00A63166" w:rsidRPr="00CC54F2">
        <w:t xml:space="preserve">period </w:t>
      </w:r>
      <w:r w:rsidR="00A63166" w:rsidRPr="00CC54F2">
        <w:rPr>
          <w:i/>
          <w:iCs/>
        </w:rPr>
        <w:t>t</w:t>
      </w:r>
      <w:r w:rsidRPr="00CC54F2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P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fe,min</m:t>
            </m:r>
          </m:sup>
        </m:sSubSup>
      </m:oMath>
      <w:r w:rsidR="00631466" w:rsidRPr="00CC54F2">
        <w:rPr>
          <w:rFonts w:hint="eastAsia"/>
        </w:rPr>
        <w:t>=</w:t>
      </w:r>
      <w:r w:rsidR="00426C28" w:rsidRPr="00CC54F2">
        <w:t xml:space="preserve">46MW,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P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fe,max</m:t>
            </m:r>
          </m:sup>
        </m:sSubSup>
      </m:oMath>
      <w:r w:rsidR="00426C28" w:rsidRPr="00CC54F2">
        <w:rPr>
          <w:rFonts w:hint="eastAsia"/>
        </w:rPr>
        <w:t>=</w:t>
      </w:r>
      <w:r w:rsidR="00426C28" w:rsidRPr="00CC54F2">
        <w:t xml:space="preserve">55MW. </w:t>
      </w:r>
    </w:p>
    <w:p w14:paraId="77F56B3A" w14:textId="106AA416" w:rsidR="00426C28" w:rsidRPr="00CC54F2" w:rsidRDefault="00426C28" w:rsidP="00426C28">
      <w:r w:rsidRPr="00CC54F2">
        <w:t xml:space="preserve">The building central air conditioning system is set to operate in cooling mode. The initial power and the adjustable range of TCLs </w:t>
      </w:r>
      <w:r w:rsidRPr="00CC54F2">
        <w:rPr>
          <w:rFonts w:cs="Times New Roman"/>
          <w:szCs w:val="20"/>
        </w:rPr>
        <w:t>are shown in Fig. B1.</w:t>
      </w:r>
    </w:p>
    <w:p w14:paraId="608F6C59" w14:textId="7CF692FF" w:rsidR="00426C28" w:rsidRPr="00CC54F2" w:rsidRDefault="00C72297" w:rsidP="00BB4870">
      <w:pPr>
        <w:ind w:firstLine="0"/>
        <w:jc w:val="center"/>
      </w:pPr>
      <w:r>
        <w:object w:dxaOrig="10251" w:dyaOrig="3661" w14:anchorId="59A48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7.4pt;height:103.15pt" o:ole="">
            <v:imagedata r:id="rId6" o:title=""/>
          </v:shape>
          <o:OLEObject Type="Embed" ProgID="Visio.Drawing.15" ShapeID="_x0000_i1027" DrawAspect="Content" ObjectID="_1774167138" r:id="rId7"/>
        </w:object>
      </w:r>
    </w:p>
    <w:p w14:paraId="6F6851CF" w14:textId="146A37EB" w:rsidR="00426C28" w:rsidRPr="00CC54F2" w:rsidRDefault="005F7673" w:rsidP="00D12FD7">
      <w:pPr>
        <w:ind w:firstLine="0"/>
        <w:rPr>
          <w:rFonts w:cs="Times New Roman"/>
          <w:sz w:val="16"/>
          <w:szCs w:val="16"/>
        </w:rPr>
      </w:pPr>
      <w:r w:rsidRPr="00CC54F2">
        <w:rPr>
          <w:rFonts w:cs="Times New Roman"/>
          <w:sz w:val="16"/>
          <w:szCs w:val="16"/>
        </w:rPr>
        <w:t>Fig. B1.  Initial power and the adjustable range of the TCL</w:t>
      </w:r>
      <w:r w:rsidRPr="00CC54F2">
        <w:rPr>
          <w:rFonts w:cs="Times New Roman" w:hint="eastAsia"/>
          <w:sz w:val="16"/>
          <w:szCs w:val="16"/>
        </w:rPr>
        <w:t>s</w:t>
      </w:r>
      <w:r w:rsidR="00B56DDD" w:rsidRPr="00CC54F2">
        <w:rPr>
          <w:rFonts w:cs="Times New Roman" w:hint="eastAsia"/>
          <w:sz w:val="16"/>
          <w:szCs w:val="16"/>
        </w:rPr>
        <w:t>.</w:t>
      </w:r>
    </w:p>
    <w:p w14:paraId="10D1E44F" w14:textId="14C2FFF7" w:rsidR="00D12FD7" w:rsidRPr="00CC54F2" w:rsidRDefault="00D12FD7" w:rsidP="00D12FD7">
      <w:r w:rsidRPr="00CC54F2">
        <w:t xml:space="preserve">The </w:t>
      </w:r>
      <w:r w:rsidR="000E7E27">
        <w:rPr>
          <w:rFonts w:hint="eastAsia"/>
        </w:rPr>
        <w:t>MG</w:t>
      </w:r>
      <w:r w:rsidRPr="00CC54F2">
        <w:t xml:space="preserve"> can provide bidirectional power. The </w:t>
      </w:r>
      <w:r w:rsidRPr="00CC54F2">
        <w:rPr>
          <w:kern w:val="0"/>
          <w:szCs w:val="20"/>
          <w14:ligatures w14:val="none"/>
        </w:rPr>
        <w:t xml:space="preserve">adjustable range of </w:t>
      </w:r>
      <w:r w:rsidR="000E7E27">
        <w:rPr>
          <w:rFonts w:hint="eastAsia"/>
        </w:rPr>
        <w:t>MG</w:t>
      </w:r>
      <w:r w:rsidRPr="00CC54F2">
        <w:t xml:space="preserve"> </w:t>
      </w:r>
      <w:r w:rsidR="00485945" w:rsidRPr="00CC54F2">
        <w:t xml:space="preserve">at </w:t>
      </w:r>
      <w:r w:rsidRPr="00CC54F2">
        <w:t xml:space="preserve">period </w:t>
      </w:r>
      <w:r w:rsidRPr="00CC54F2">
        <w:rPr>
          <w:i/>
          <w:iCs/>
        </w:rPr>
        <w:t>t</w:t>
      </w:r>
      <w:r w:rsidRPr="00CC54F2">
        <w:t>: [-7MW, 5MW].</w:t>
      </w:r>
    </w:p>
    <w:p w14:paraId="4406E195" w14:textId="7D19B1BE" w:rsidR="00BD0A38" w:rsidRPr="00CC54F2" w:rsidRDefault="00BD0A38" w:rsidP="00D12FD7">
      <w:r w:rsidRPr="00CC54F2">
        <w:t>In the intraday stage</w:t>
      </w:r>
      <w:r w:rsidR="00446445" w:rsidRPr="00CC54F2">
        <w:t xml:space="preserve">, the adjustable capacity range for </w:t>
      </w:r>
      <w:r w:rsidR="000E7E27">
        <w:rPr>
          <w:rFonts w:hint="eastAsia"/>
        </w:rPr>
        <w:t>MG</w:t>
      </w:r>
      <w:r w:rsidR="00446445" w:rsidRPr="00CC54F2">
        <w:t xml:space="preserve"> to participate in wind curtailment consumption service</w:t>
      </w:r>
      <w:r w:rsidRPr="00CC54F2">
        <w:t xml:space="preserve"> </w:t>
      </w:r>
      <w:r w:rsidR="00E76FCA" w:rsidRPr="00CC54F2">
        <w:t xml:space="preserve">at period </w:t>
      </w:r>
      <w:r w:rsidR="00E76FCA" w:rsidRPr="00CC54F2">
        <w:rPr>
          <w:i/>
          <w:iCs/>
        </w:rPr>
        <w:t>t</w:t>
      </w:r>
      <w:r w:rsidR="00E76FCA" w:rsidRPr="00CC54F2">
        <w:t>:</w:t>
      </w:r>
      <w:r w:rsidRPr="00CC54F2">
        <w:t xml:space="preserve"> [0, 8MW]</w:t>
      </w:r>
      <w:r w:rsidR="00446445" w:rsidRPr="00CC54F2">
        <w:t xml:space="preserve">. </w:t>
      </w:r>
    </w:p>
    <w:p w14:paraId="582C3395" w14:textId="40DF58F4" w:rsidR="00951FD2" w:rsidRPr="00D1381F" w:rsidRDefault="00446445" w:rsidP="00770263">
      <w:r w:rsidRPr="00CC54F2">
        <w:t>The transmission capacity of the line between t</w:t>
      </w:r>
      <w:r w:rsidRPr="00446445">
        <w:t>he wind farm and the main grid is</w:t>
      </w:r>
      <w:r>
        <w:t xml:space="preserve"> 100MW. </w:t>
      </w:r>
      <w:r w:rsidRPr="00446445">
        <w:t>The transmission capacit</w:t>
      </w:r>
      <w:r>
        <w:t>ies</w:t>
      </w:r>
      <w:r w:rsidRPr="00446445">
        <w:t xml:space="preserve"> between </w:t>
      </w:r>
      <w:r>
        <w:t xml:space="preserve">the </w:t>
      </w:r>
      <w:r w:rsidRPr="00446445">
        <w:t xml:space="preserve">wind farm and </w:t>
      </w:r>
      <w:r w:rsidR="00770263">
        <w:t xml:space="preserve">the </w:t>
      </w:r>
      <w:r w:rsidRPr="00446445">
        <w:t xml:space="preserve">ferroalloy, </w:t>
      </w:r>
      <w:r>
        <w:t>TCL</w:t>
      </w:r>
      <w:r w:rsidRPr="00446445">
        <w:t xml:space="preserve">s and </w:t>
      </w:r>
      <w:r w:rsidR="000E7E27">
        <w:rPr>
          <w:rFonts w:hint="eastAsia"/>
        </w:rPr>
        <w:t>MG</w:t>
      </w:r>
      <w:r w:rsidRPr="00446445">
        <w:t xml:space="preserve"> </w:t>
      </w:r>
      <w:r w:rsidR="00770263">
        <w:t xml:space="preserve">are 55MW, 10MW, and 7MW, respectively. </w:t>
      </w:r>
      <w:r w:rsidR="00770263" w:rsidRPr="00446445">
        <w:t>The transmission capacit</w:t>
      </w:r>
      <w:r w:rsidR="00770263">
        <w:t>ies</w:t>
      </w:r>
      <w:r w:rsidR="00770263" w:rsidRPr="00446445">
        <w:t xml:space="preserve"> between </w:t>
      </w:r>
      <w:r w:rsidR="00770263">
        <w:t xml:space="preserve">the DN </w:t>
      </w:r>
      <w:r w:rsidR="00770263" w:rsidRPr="00446445">
        <w:t xml:space="preserve">and </w:t>
      </w:r>
      <w:r w:rsidR="00770263">
        <w:t xml:space="preserve">the </w:t>
      </w:r>
      <w:r w:rsidR="00770263" w:rsidRPr="00446445">
        <w:t>ferroalloy</w:t>
      </w:r>
      <w:r w:rsidR="00770263">
        <w:t xml:space="preserve"> and</w:t>
      </w:r>
      <w:r w:rsidR="00770263" w:rsidRPr="00446445">
        <w:t xml:space="preserve"> </w:t>
      </w:r>
      <w:r w:rsidR="00770263">
        <w:t>TCL</w:t>
      </w:r>
      <w:r w:rsidR="00770263" w:rsidRPr="00446445">
        <w:t xml:space="preserve">s </w:t>
      </w:r>
      <w:r w:rsidR="00770263">
        <w:t xml:space="preserve">are 50MW and 10MW, respectively. </w:t>
      </w:r>
    </w:p>
    <w:sectPr w:rsidR="00951FD2" w:rsidRPr="00D1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5323C" w14:textId="77777777" w:rsidR="00353998" w:rsidRDefault="00353998" w:rsidP="00267A1B">
      <w:r>
        <w:separator/>
      </w:r>
    </w:p>
  </w:endnote>
  <w:endnote w:type="continuationSeparator" w:id="0">
    <w:p w14:paraId="2D8EE8AD" w14:textId="77777777" w:rsidR="00353998" w:rsidRDefault="00353998" w:rsidP="0026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B29DB" w14:textId="77777777" w:rsidR="00353998" w:rsidRDefault="00353998" w:rsidP="00267A1B">
      <w:r>
        <w:separator/>
      </w:r>
    </w:p>
  </w:footnote>
  <w:footnote w:type="continuationSeparator" w:id="0">
    <w:p w14:paraId="3E2C71F8" w14:textId="77777777" w:rsidR="00353998" w:rsidRDefault="00353998" w:rsidP="00267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30"/>
    <w:rsid w:val="00005ED7"/>
    <w:rsid w:val="000532AF"/>
    <w:rsid w:val="000D33B2"/>
    <w:rsid w:val="000E7E27"/>
    <w:rsid w:val="00185449"/>
    <w:rsid w:val="002378DE"/>
    <w:rsid w:val="00267A1B"/>
    <w:rsid w:val="00324ACA"/>
    <w:rsid w:val="00353998"/>
    <w:rsid w:val="00370A66"/>
    <w:rsid w:val="003A04F8"/>
    <w:rsid w:val="00426C28"/>
    <w:rsid w:val="00446445"/>
    <w:rsid w:val="00485945"/>
    <w:rsid w:val="00576630"/>
    <w:rsid w:val="005E120D"/>
    <w:rsid w:val="005F7673"/>
    <w:rsid w:val="00631466"/>
    <w:rsid w:val="00690DCD"/>
    <w:rsid w:val="00713FC4"/>
    <w:rsid w:val="00770263"/>
    <w:rsid w:val="007D0BFC"/>
    <w:rsid w:val="00876F19"/>
    <w:rsid w:val="008A351D"/>
    <w:rsid w:val="008B6AD7"/>
    <w:rsid w:val="009273A2"/>
    <w:rsid w:val="00943958"/>
    <w:rsid w:val="00951FD2"/>
    <w:rsid w:val="00967F52"/>
    <w:rsid w:val="009B195B"/>
    <w:rsid w:val="00A63166"/>
    <w:rsid w:val="00AA476A"/>
    <w:rsid w:val="00AC265F"/>
    <w:rsid w:val="00B56DDD"/>
    <w:rsid w:val="00B7099F"/>
    <w:rsid w:val="00B71B29"/>
    <w:rsid w:val="00BB4870"/>
    <w:rsid w:val="00BD0A38"/>
    <w:rsid w:val="00BF02EE"/>
    <w:rsid w:val="00C72297"/>
    <w:rsid w:val="00C75D30"/>
    <w:rsid w:val="00CA0830"/>
    <w:rsid w:val="00CC54F2"/>
    <w:rsid w:val="00CF0EF7"/>
    <w:rsid w:val="00D12FD7"/>
    <w:rsid w:val="00D1381F"/>
    <w:rsid w:val="00D53197"/>
    <w:rsid w:val="00D60EDD"/>
    <w:rsid w:val="00DF06E7"/>
    <w:rsid w:val="00E76FCA"/>
    <w:rsid w:val="00EA4292"/>
    <w:rsid w:val="00F05E58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1B73F"/>
  <w15:chartTrackingRefBased/>
  <w15:docId w15:val="{01CF5159-4D42-4805-8C19-04AC664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66"/>
    <w:pPr>
      <w:widowControl w:val="0"/>
      <w:ind w:firstLine="204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A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A1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A1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Tianhui Meng</dc:creator>
  <cp:keywords/>
  <dc:description/>
  <cp:lastModifiedBy>Tianhui Meng</cp:lastModifiedBy>
  <cp:revision>6</cp:revision>
  <dcterms:created xsi:type="dcterms:W3CDTF">2024-04-08T14:10:00Z</dcterms:created>
  <dcterms:modified xsi:type="dcterms:W3CDTF">2024-04-09T03:20:00Z</dcterms:modified>
</cp:coreProperties>
</file>