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ffff00" w:val="clea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tiempo, materiales y factores externos, y en caso de posibles dificultades plantea como las abordaría.</w:t>
            </w:r>
          </w:p>
        </w:tc>
        <w:tc>
          <w:tcPr>
            <w:shd w:fill="ffffff" w:val="clea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ffffff" w:val="clea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shd w:fill="ffff00" w:val="clea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shd w:fill="ffffff" w:val="clea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color w:val="3b3838"/>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9">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3">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4">
      <w:pPr>
        <w:jc w:val="both"/>
        <w:rPr>
          <w:color w:val="595959"/>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9KT8iZ3n1f4UFOfmO8riZvpu6g==">CgMxLjA4AHIhMUNmdFhIVDZJZy0xWDliQmZzSUs2SFVHaWtwMkxVcTJx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