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365D"/>
          <w:sz w:val="40"/>
          <w:szCs w:val="40"/>
        </w:rPr>
        <w:t xml:space="preserve">Why FHIR, Not Just a PDF</w:t>
      </w:r>
    </w:p>
    <w:p>
      <w:pPr>
        <w:pBdr>
          <w:bottom w:val="single" w:color="CBD5E0" w:sz="6" w:space="8"/>
        </w:pBdr>
        <w:spacing w:after="200"/>
      </w:pPr>
      <w:r>
        <w:rPr>
          <w:rFonts w:ascii="Calibri" w:cs="Calibri" w:eastAsia="Calibri" w:hAnsi="Calibri"/>
          <w:i/>
          <w:iCs/>
          <w:color w:val="4A5568"/>
          <w:sz w:val="20"/>
          <w:szCs w:val="20"/>
        </w:rPr>
        <w:t xml:space="preserve">Prepared for: VP of IT  ·  Ahead of the integration steering committee meeting  ·  </w:t>
      </w:r>
      <w:r>
        <w:rPr>
          <w:rFonts w:ascii="Calibri" w:cs="Calibri" w:eastAsia="Calibri" w:hAnsi="Calibri"/>
          <w:i/>
          <w:iCs/>
          <w:color w:val="4A5568"/>
          <w:sz w:val="20"/>
          <w:szCs w:val="20"/>
        </w:rPr>
        <w:t xml:space="preserve">September 5, 2026</w:t>
      </w:r>
    </w:p>
    <w:p>
      <w:pPr>
        <w:spacing w:after="160" w:line="300"/>
        <w:jc w:val="both"/>
      </w:pPr>
      <w:r>
        <w:rPr>
          <w:rFonts w:ascii="Georgia" w:cs="Georgia" w:eastAsia="Georgia" w:hAnsi="Georgia"/>
          <w:sz w:val="21"/>
          <w:szCs w:val="21"/>
        </w:rPr>
        <w:t xml:space="preserve">It's a completely reasonable question. A PDF is simpler, everyone already knows how to open one, and it feels like the fastest way to get data moving. The short answer is that a PDF and a FHIR feed solve two different problems, and the steering committee's goals need both — but only one of them can power everything downstream of this integration.</w:t>
      </w:r>
    </w:p>
    <w:p>
      <w:pPr>
        <w:spacing w:after="160" w:line="300"/>
        <w:jc w:val="both"/>
      </w:pPr>
      <w:r>
        <w:rPr>
          <w:rFonts w:ascii="Georgia" w:cs="Georgia" w:eastAsia="Georgia" w:hAnsi="Georgia"/>
          <w:sz w:val="21"/>
          <w:szCs w:val="21"/>
        </w:rPr>
        <w:t xml:space="preserve">Think of a PDF chart as a photocopy of a patient's paper file. It's complete, it's readable, and a clinician can flip through it and understand the story. But it's still just a picture of information — nothing about it is organized in a way a computer can act on. If your care management team wants to know which diabetic patients haven't had an A1c test this year, or your pharmacy system wants to check a new prescription against a patient's allergy list automatically, a PDF gives them nothing to work with except a human being retyping numbers into another system by hand. That's slow, it's expensive at scale, and every manual re-entry is a chance to introduce an error into a patient's record.</w:t>
      </w:r>
    </w:p>
    <w:p>
      <w:pPr>
        <w:spacing w:after="160" w:line="300"/>
        <w:jc w:val="both"/>
      </w:pPr>
      <w:r>
        <w:rPr>
          <w:rFonts w:ascii="Georgia" w:cs="Georgia" w:eastAsia="Georgia" w:hAnsi="Georgia"/>
          <w:sz w:val="21"/>
          <w:szCs w:val="21"/>
        </w:rPr>
        <w:t xml:space="preserve">FHIR (Fast Healthcare Interoperability Resources) solves the same handoff differently: instead of a picture of the file, we hand over the actual, organized filing system. Every hospital and EHR that speaks FHIR agrees, in advance, that “blood pressure” always shows up the same way, “penicillin allergy” always shows up the same way, and so on — regardless of which hospital's system originally recorded it. That shared structure is what lets your systems, our platform, and any future partner all read the same data automatically, without someone building a custom PDF-parsing project for every new hospital you connect to.</w:t>
      </w:r>
    </w:p>
    <w:p>
      <w:pPr>
        <w:spacing w:after="160" w:line="300"/>
        <w:jc w:val="both"/>
      </w:pPr>
      <w:r>
        <w:rPr>
          <w:rFonts w:ascii="Georgia" w:cs="Georgia" w:eastAsia="Georgia" w:hAnsi="Georgia"/>
          <w:sz w:val="21"/>
          <w:szCs w:val="21"/>
        </w:rPr>
        <w:t xml:space="preserve">There's also a regulatory angle worth flagging: since 2021, federal information-blocking rules under the 21st Century Cures Act have pushed the industry toward standardized, computable data access — not just human-readable exports — for patient-authorized sharing. A PDF-only approach is increasingly out of step with where payers and digital health partners expect to connect, which can become a real barrier when a partner's compliance team asks how you exchange data.</w:t>
      </w:r>
    </w:p>
    <w:p>
      <w:pPr>
        <w:spacing w:after="160" w:line="300"/>
        <w:jc w:val="both"/>
      </w:pPr>
      <w:r>
        <w:rPr>
          <w:rFonts w:ascii="Georgia" w:cs="Georgia" w:eastAsia="Georgia" w:hAnsi="Georgia"/>
          <w:sz w:val="21"/>
          <w:szCs w:val="21"/>
        </w:rPr>
        <w:t xml:space="preserve">None of this means the PDF goes away. Clinicians and patients will still want a readable summary, and HealthEx's platform actually includes a generated “unified record” PDF alongside the structured data for exactly that reason. The distinction is which one becomes your system of record for the connection: build on FHIR, and the PDF becomes a nice-to-have export on top of data you already have in a usable form. Build on the PDF, and every future use case — a new analytics tool, a new partner, a new compliance requirement — becomes its own custom project.</w:t>
      </w:r>
    </w:p>
    <w:p>
      <w:pPr>
        <w:pBdr>
          <w:left w:val="single" w:color="2B6CB0" w:sz="24" w:space="10"/>
        </w:pBdr>
        <w:shd w:fill="EDF2F7" w:val="clear"/>
        <w:spacing w:after="0" w:before="120"/>
        <w:ind w:left="200" w:right="200"/>
      </w:pPr>
      <w:r>
        <w:rPr>
          <w:rFonts w:ascii="Calibri" w:cs="Calibri" w:eastAsia="Calibri" w:hAnsi="Calibri"/>
          <w:b/>
          <w:bCs/>
          <w:i/>
          <w:iCs/>
          <w:color w:val="1A365D"/>
          <w:sz w:val="22"/>
          <w:szCs w:val="22"/>
        </w:rPr>
        <w:t xml:space="preserve">The real cost comparison for the committee: </w:t>
      </w:r>
      <w:r>
        <w:rPr>
          <w:rFonts w:ascii="Calibri" w:cs="Calibri" w:eastAsia="Calibri" w:hAnsi="Calibri"/>
          <w:i/>
          <w:iCs/>
          <w:color w:val="1A365D"/>
          <w:sz w:val="22"/>
          <w:szCs w:val="22"/>
        </w:rPr>
        <w:t xml:space="preserve">FHIR is more setup work today, in exchange for every future integration being fast. A PDF feels faster today, and stays expensive forever.</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2026-09-05T18:17:48.283Z</dcterms:created>
  <dcterms:modified xsi:type="dcterms:W3CDTF">2026-09-05T18:17:48.283Z</dcterms:modified>
</cp:coreProperties>
</file>

<file path=docProps/custom.xml><?xml version="1.0" encoding="utf-8"?>
<Properties xmlns="http://schemas.openxmlformats.org/officeDocument/2006/custom-properties" xmlns:vt="http://schemas.openxmlformats.org/officeDocument/2006/docPropsVTypes"/>
</file>