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3840467" cy="2743200"/>
            <wp:effectExtent b="0" l="0" r="0" t="0"/>
            <wp:docPr descr="Capture d’écran 2016-02-07 à 17.58.31.png" id="1" name="image03.png"/>
            <a:graphic>
              <a:graphicData uri="http://schemas.openxmlformats.org/drawingml/2006/picture">
                <pic:pic>
                  <pic:nvPicPr>
                    <pic:cNvPr descr="Capture d’écran 2016-02-07 à 17.58.31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67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Figure 13 : Quantité de matière estimée de sulfate pour chacun des évènements détectés par les programmes R et Python (critère de détection seuil avec 2 sigma) dans la carotte VOLSOL1.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67350" cy="57054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avons ensuite représenté le nuage de points associé à la régression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67350" cy="57340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