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5G天地一体化海上风电应用项目</w:t>
      </w:r>
      <w:r>
        <w:rPr>
          <w:rFonts w:hint="eastAsia" w:ascii="宋体" w:hAnsi="宋体" w:eastAsia="宋体" w:cs="宋体"/>
          <w:b/>
          <w:bCs/>
          <w:sz w:val="44"/>
          <w:szCs w:val="44"/>
          <w:lang w:val="en-US" w:eastAsia="zh-CN"/>
        </w:rPr>
        <w:br w:type="textWrapping"/>
      </w:r>
      <w:r>
        <w:rPr>
          <w:rFonts w:hint="eastAsia" w:ascii="宋体" w:hAnsi="宋体" w:eastAsia="宋体" w:cs="宋体"/>
          <w:b/>
          <w:bCs/>
          <w:sz w:val="44"/>
          <w:szCs w:val="44"/>
          <w:lang w:val="en-US" w:eastAsia="zh-CN"/>
        </w:rPr>
        <w:t>可行性分析报告</w:t>
      </w: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海上风电实验室</w:t>
      </w:r>
    </w:p>
    <w:p>
      <w:pPr>
        <w:keepNext w:val="0"/>
        <w:keepLines w:val="0"/>
        <w:pageBreakBefore w:val="0"/>
        <w:kinsoku/>
        <w:wordWrap/>
        <w:overflowPunct/>
        <w:topLinePunct w:val="0"/>
        <w:autoSpaceDE/>
        <w:autoSpaceDN/>
        <w:bidi w:val="0"/>
        <w:adjustRightInd/>
        <w:snapToGrid/>
        <w:spacing w:before="120" w:after="120"/>
        <w:jc w:val="cente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2021年1月</w:t>
      </w: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center"/>
        <w:rPr>
          <w:rFonts w:hint="eastAsia" w:ascii="宋体" w:hAnsi="宋体" w:eastAsia="宋体" w:cs="宋体"/>
          <w:b/>
          <w:bCs/>
          <w:sz w:val="32"/>
          <w:szCs w:val="32"/>
          <w:lang w:val="en-US" w:eastAsia="zh-CN"/>
        </w:rPr>
      </w:pPr>
    </w:p>
    <w:p>
      <w:pPr>
        <w:keepNext w:val="0"/>
        <w:keepLines w:val="0"/>
        <w:pageBreakBefore w:val="0"/>
        <w:kinsoku/>
        <w:wordWrap/>
        <w:overflowPunct/>
        <w:topLinePunct w:val="0"/>
        <w:autoSpaceDE/>
        <w:autoSpaceDN/>
        <w:bidi w:val="0"/>
        <w:adjustRightInd/>
        <w:snapToGrid/>
        <w:spacing w:before="120" w:after="120"/>
        <w:jc w:val="both"/>
        <w:rPr>
          <w:rFonts w:hint="eastAsia" w:ascii="宋体" w:hAnsi="宋体" w:eastAsia="宋体" w:cs="宋体"/>
          <w:b/>
          <w:bCs/>
          <w:sz w:val="32"/>
          <w:szCs w:val="32"/>
          <w:lang w:val="en-US" w:eastAsia="zh-CN"/>
        </w:rPr>
      </w:pPr>
    </w:p>
    <w:sdt>
      <w:sdtPr>
        <w:rPr>
          <w:rFonts w:ascii="宋体" w:hAnsi="宋体" w:eastAsia="宋体" w:cstheme="minorBidi"/>
          <w:kern w:val="2"/>
          <w:sz w:val="21"/>
          <w:szCs w:val="24"/>
          <w:lang w:val="en-US" w:eastAsia="zh-CN" w:bidi="ar-SA"/>
        </w:rPr>
        <w:id w:val="147465135"/>
        <w15:color w:val="DBDBDB"/>
        <w:docPartObj>
          <w:docPartGallery w:val="Table of Contents"/>
          <w:docPartUnique/>
        </w:docPartObj>
      </w:sdtPr>
      <w:sdtEndPr>
        <w:rPr>
          <w:rFonts w:hint="eastAsia" w:ascii="宋体" w:hAnsi="宋体" w:eastAsia="宋体" w:cs="宋体"/>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sz w:val="36"/>
              <w:szCs w:val="44"/>
            </w:rPr>
          </w:pPr>
          <w:r>
            <w:rPr>
              <w:rFonts w:ascii="宋体" w:hAnsi="宋体" w:eastAsia="宋体"/>
              <w:sz w:val="36"/>
              <w:szCs w:val="44"/>
            </w:rPr>
            <w:t>目</w:t>
          </w:r>
          <w:r>
            <w:rPr>
              <w:rFonts w:hint="eastAsia" w:ascii="宋体" w:hAnsi="宋体" w:eastAsia="宋体"/>
              <w:sz w:val="36"/>
              <w:szCs w:val="44"/>
              <w:lang w:val="en-US" w:eastAsia="zh-CN"/>
            </w:rPr>
            <w:t xml:space="preserve"> </w:t>
          </w:r>
          <w:r>
            <w:rPr>
              <w:rFonts w:ascii="宋体" w:hAnsi="宋体" w:eastAsia="宋体"/>
              <w:sz w:val="36"/>
              <w:szCs w:val="44"/>
            </w:rPr>
            <w:t>录</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"1-3"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_Toc4002 </w:instrText>
          </w:r>
          <w:r>
            <w:rPr>
              <w:rFonts w:hint="eastAsia" w:ascii="宋体" w:hAnsi="宋体" w:eastAsia="宋体" w:cs="宋体"/>
              <w:bCs/>
              <w:sz w:val="24"/>
              <w:szCs w:val="24"/>
              <w:lang w:val="en-US" w:eastAsia="zh-CN"/>
            </w:rPr>
            <w:fldChar w:fldCharType="separate"/>
          </w:r>
          <w:r>
            <w:rPr>
              <w:rFonts w:hint="eastAsia"/>
              <w:sz w:val="24"/>
              <w:szCs w:val="24"/>
              <w:lang w:val="en-US" w:eastAsia="zh-CN"/>
            </w:rPr>
            <w:t>一、 项目实施方案</w:t>
          </w:r>
          <w:r>
            <w:rPr>
              <w:sz w:val="24"/>
              <w:szCs w:val="24"/>
            </w:rPr>
            <w:tab/>
          </w:r>
          <w:r>
            <w:rPr>
              <w:sz w:val="24"/>
              <w:szCs w:val="24"/>
            </w:rPr>
            <w:fldChar w:fldCharType="begin"/>
          </w:r>
          <w:r>
            <w:rPr>
              <w:sz w:val="24"/>
              <w:szCs w:val="24"/>
            </w:rPr>
            <w:instrText xml:space="preserve"> PAGEREF _Toc4002 </w:instrText>
          </w:r>
          <w:r>
            <w:rPr>
              <w:sz w:val="24"/>
              <w:szCs w:val="24"/>
            </w:rPr>
            <w:fldChar w:fldCharType="separate"/>
          </w:r>
          <w:r>
            <w:rPr>
              <w:sz w:val="24"/>
              <w:szCs w:val="24"/>
            </w:rPr>
            <w:t>2</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（一） 总体方案、研发内容</w:t>
          </w:r>
          <w:r>
            <w:rPr>
              <w:sz w:val="24"/>
              <w:szCs w:val="24"/>
            </w:rPr>
            <w:tab/>
          </w:r>
          <w:r>
            <w:rPr>
              <w:sz w:val="24"/>
              <w:szCs w:val="24"/>
            </w:rPr>
            <w:fldChar w:fldCharType="begin"/>
          </w:r>
          <w:r>
            <w:rPr>
              <w:sz w:val="24"/>
              <w:szCs w:val="24"/>
            </w:rPr>
            <w:instrText xml:space="preserve"> PAGEREF _Toc153 </w:instrText>
          </w:r>
          <w:r>
            <w:rPr>
              <w:sz w:val="24"/>
              <w:szCs w:val="24"/>
            </w:rPr>
            <w:fldChar w:fldCharType="separate"/>
          </w:r>
          <w:r>
            <w:rPr>
              <w:sz w:val="24"/>
              <w:szCs w:val="24"/>
            </w:rPr>
            <w:t>2</w:t>
          </w:r>
          <w:r>
            <w:rPr>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_Toc14366 </w:instrText>
          </w:r>
          <w:r>
            <w:rPr>
              <w:rFonts w:hint="eastAsia" w:ascii="宋体" w:hAnsi="宋体" w:eastAsia="宋体" w:cs="宋体"/>
              <w:bCs/>
              <w:sz w:val="24"/>
              <w:szCs w:val="24"/>
              <w:lang w:val="en-US" w:eastAsia="zh-CN"/>
            </w:rPr>
            <w:fldChar w:fldCharType="separate"/>
          </w:r>
          <w:r>
            <w:rPr>
              <w:rFonts w:hint="default"/>
              <w:sz w:val="24"/>
              <w:szCs w:val="24"/>
              <w:lang w:val="en-US" w:eastAsia="zh-CN"/>
            </w:rPr>
            <w:t xml:space="preserve">1.1 </w:t>
          </w:r>
          <w:r>
            <w:rPr>
              <w:rFonts w:hint="eastAsia"/>
              <w:sz w:val="24"/>
              <w:szCs w:val="24"/>
              <w:lang w:val="en-US" w:eastAsia="zh-CN"/>
            </w:rPr>
            <w:t>总体方案</w:t>
          </w:r>
          <w:r>
            <w:rPr>
              <w:sz w:val="24"/>
              <w:szCs w:val="24"/>
            </w:rPr>
            <w:tab/>
          </w:r>
          <w:r>
            <w:rPr>
              <w:sz w:val="24"/>
              <w:szCs w:val="24"/>
            </w:rPr>
            <w:fldChar w:fldCharType="begin"/>
          </w:r>
          <w:r>
            <w:rPr>
              <w:sz w:val="24"/>
              <w:szCs w:val="24"/>
            </w:rPr>
            <w:instrText xml:space="preserve"> PAGEREF _Toc14366 </w:instrText>
          </w:r>
          <w:r>
            <w:rPr>
              <w:sz w:val="24"/>
              <w:szCs w:val="24"/>
            </w:rPr>
            <w:fldChar w:fldCharType="separate"/>
          </w:r>
          <w:r>
            <w:rPr>
              <w:sz w:val="24"/>
              <w:szCs w:val="24"/>
            </w:rPr>
            <w:t>2</w:t>
          </w:r>
          <w:r>
            <w:rPr>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_Toc14083 </w:instrText>
          </w:r>
          <w:r>
            <w:rPr>
              <w:rFonts w:hint="eastAsia" w:ascii="宋体" w:hAnsi="宋体" w:eastAsia="宋体" w:cs="宋体"/>
              <w:bCs/>
              <w:sz w:val="24"/>
              <w:szCs w:val="24"/>
              <w:lang w:val="en-US" w:eastAsia="zh-CN"/>
            </w:rPr>
            <w:fldChar w:fldCharType="separate"/>
          </w:r>
          <w:r>
            <w:rPr>
              <w:rFonts w:hint="default"/>
              <w:sz w:val="24"/>
              <w:szCs w:val="24"/>
              <w:lang w:val="en-US" w:eastAsia="zh-CN"/>
            </w:rPr>
            <w:t xml:space="preserve">1.2 </w:t>
          </w:r>
          <w:r>
            <w:rPr>
              <w:rFonts w:hint="eastAsia"/>
              <w:sz w:val="24"/>
              <w:szCs w:val="24"/>
              <w:lang w:val="en-US" w:eastAsia="zh-CN"/>
            </w:rPr>
            <w:t>研发内容</w:t>
          </w:r>
          <w:r>
            <w:rPr>
              <w:sz w:val="24"/>
              <w:szCs w:val="24"/>
            </w:rPr>
            <w:tab/>
          </w:r>
          <w:r>
            <w:rPr>
              <w:sz w:val="24"/>
              <w:szCs w:val="24"/>
            </w:rPr>
            <w:fldChar w:fldCharType="begin"/>
          </w:r>
          <w:r>
            <w:rPr>
              <w:sz w:val="24"/>
              <w:szCs w:val="24"/>
            </w:rPr>
            <w:instrText xml:space="preserve"> PAGEREF _Toc14083 </w:instrText>
          </w:r>
          <w:r>
            <w:rPr>
              <w:sz w:val="24"/>
              <w:szCs w:val="24"/>
            </w:rPr>
            <w:fldChar w:fldCharType="separate"/>
          </w:r>
          <w:r>
            <w:rPr>
              <w:sz w:val="24"/>
              <w:szCs w:val="24"/>
            </w:rPr>
            <w:t>3</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_Toc15337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（二） 拟解决的关键问题与技术路线</w:t>
          </w:r>
          <w:r>
            <w:rPr>
              <w:sz w:val="24"/>
              <w:szCs w:val="24"/>
            </w:rPr>
            <w:tab/>
          </w:r>
          <w:r>
            <w:rPr>
              <w:sz w:val="24"/>
              <w:szCs w:val="24"/>
            </w:rPr>
            <w:fldChar w:fldCharType="begin"/>
          </w:r>
          <w:r>
            <w:rPr>
              <w:sz w:val="24"/>
              <w:szCs w:val="24"/>
            </w:rPr>
            <w:instrText xml:space="preserve"> PAGEREF _Toc15337 </w:instrText>
          </w:r>
          <w:r>
            <w:rPr>
              <w:sz w:val="24"/>
              <w:szCs w:val="24"/>
            </w:rPr>
            <w:fldChar w:fldCharType="separate"/>
          </w:r>
          <w:r>
            <w:rPr>
              <w:sz w:val="24"/>
              <w:szCs w:val="24"/>
            </w:rPr>
            <w:t>4</w:t>
          </w:r>
          <w:r>
            <w:rPr>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_Toc4776 </w:instrText>
          </w:r>
          <w:r>
            <w:rPr>
              <w:rFonts w:hint="eastAsia" w:ascii="宋体" w:hAnsi="宋体" w:eastAsia="宋体" w:cs="宋体"/>
              <w:bCs/>
              <w:sz w:val="24"/>
              <w:szCs w:val="24"/>
              <w:lang w:val="en-US" w:eastAsia="zh-CN"/>
            </w:rPr>
            <w:fldChar w:fldCharType="separate"/>
          </w:r>
          <w:r>
            <w:rPr>
              <w:rFonts w:hint="eastAsia"/>
              <w:sz w:val="24"/>
              <w:szCs w:val="24"/>
              <w:lang w:val="en-US" w:eastAsia="zh-CN"/>
            </w:rPr>
            <w:t>2.1 拟解决的关键问题</w:t>
          </w:r>
          <w:r>
            <w:rPr>
              <w:sz w:val="24"/>
              <w:szCs w:val="24"/>
            </w:rPr>
            <w:tab/>
          </w:r>
          <w:r>
            <w:rPr>
              <w:sz w:val="24"/>
              <w:szCs w:val="24"/>
            </w:rPr>
            <w:fldChar w:fldCharType="begin"/>
          </w:r>
          <w:r>
            <w:rPr>
              <w:sz w:val="24"/>
              <w:szCs w:val="24"/>
            </w:rPr>
            <w:instrText xml:space="preserve"> PAGEREF _Toc4776 </w:instrText>
          </w:r>
          <w:r>
            <w:rPr>
              <w:sz w:val="24"/>
              <w:szCs w:val="24"/>
            </w:rPr>
            <w:fldChar w:fldCharType="separate"/>
          </w:r>
          <w:r>
            <w:rPr>
              <w:sz w:val="24"/>
              <w:szCs w:val="24"/>
            </w:rPr>
            <w:t>4</w:t>
          </w:r>
          <w:r>
            <w:rPr>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_Toc24453 </w:instrText>
          </w:r>
          <w:r>
            <w:rPr>
              <w:rFonts w:hint="eastAsia" w:ascii="宋体" w:hAnsi="宋体" w:eastAsia="宋体" w:cs="宋体"/>
              <w:bCs/>
              <w:sz w:val="24"/>
              <w:szCs w:val="24"/>
              <w:lang w:val="en-US" w:eastAsia="zh-CN"/>
            </w:rPr>
            <w:fldChar w:fldCharType="separate"/>
          </w:r>
          <w:r>
            <w:rPr>
              <w:rFonts w:hint="eastAsia"/>
              <w:sz w:val="24"/>
              <w:szCs w:val="24"/>
              <w:lang w:val="en-US" w:eastAsia="zh-CN"/>
            </w:rPr>
            <w:t>2.2 技术路线</w:t>
          </w:r>
          <w:r>
            <w:rPr>
              <w:sz w:val="24"/>
              <w:szCs w:val="24"/>
            </w:rPr>
            <w:tab/>
          </w:r>
          <w:r>
            <w:rPr>
              <w:sz w:val="24"/>
              <w:szCs w:val="24"/>
            </w:rPr>
            <w:fldChar w:fldCharType="begin"/>
          </w:r>
          <w:r>
            <w:rPr>
              <w:sz w:val="24"/>
              <w:szCs w:val="24"/>
            </w:rPr>
            <w:instrText xml:space="preserve"> PAGEREF _Toc24453 </w:instrText>
          </w:r>
          <w:r>
            <w:rPr>
              <w:sz w:val="24"/>
              <w:szCs w:val="24"/>
            </w:rPr>
            <w:fldChar w:fldCharType="separate"/>
          </w:r>
          <w:r>
            <w:rPr>
              <w:sz w:val="24"/>
              <w:szCs w:val="24"/>
            </w:rPr>
            <w:t>4</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_Toc16716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（三） 创新点</w:t>
          </w:r>
          <w:r>
            <w:rPr>
              <w:sz w:val="24"/>
              <w:szCs w:val="24"/>
            </w:rPr>
            <w:tab/>
          </w:r>
          <w:r>
            <w:rPr>
              <w:sz w:val="24"/>
              <w:szCs w:val="24"/>
            </w:rPr>
            <w:fldChar w:fldCharType="begin"/>
          </w:r>
          <w:r>
            <w:rPr>
              <w:sz w:val="24"/>
              <w:szCs w:val="24"/>
            </w:rPr>
            <w:instrText xml:space="preserve"> PAGEREF _Toc16716 </w:instrText>
          </w:r>
          <w:r>
            <w:rPr>
              <w:sz w:val="24"/>
              <w:szCs w:val="24"/>
            </w:rPr>
            <w:fldChar w:fldCharType="separate"/>
          </w:r>
          <w:r>
            <w:rPr>
              <w:sz w:val="24"/>
              <w:szCs w:val="24"/>
            </w:rPr>
            <w:t>5</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_Toc20428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（四） 组织方式</w:t>
          </w:r>
          <w:r>
            <w:rPr>
              <w:sz w:val="24"/>
              <w:szCs w:val="24"/>
            </w:rPr>
            <w:tab/>
          </w:r>
          <w:r>
            <w:rPr>
              <w:sz w:val="24"/>
              <w:szCs w:val="24"/>
            </w:rPr>
            <w:fldChar w:fldCharType="begin"/>
          </w:r>
          <w:r>
            <w:rPr>
              <w:sz w:val="24"/>
              <w:szCs w:val="24"/>
            </w:rPr>
            <w:instrText xml:space="preserve"> PAGEREF _Toc20428 </w:instrText>
          </w:r>
          <w:r>
            <w:rPr>
              <w:sz w:val="24"/>
              <w:szCs w:val="24"/>
            </w:rPr>
            <w:fldChar w:fldCharType="separate"/>
          </w:r>
          <w:r>
            <w:rPr>
              <w:sz w:val="24"/>
              <w:szCs w:val="24"/>
            </w:rPr>
            <w:t>5</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_Toc8703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（五） 研究团队构成</w:t>
          </w:r>
          <w:r>
            <w:rPr>
              <w:sz w:val="24"/>
              <w:szCs w:val="24"/>
            </w:rPr>
            <w:tab/>
          </w:r>
          <w:r>
            <w:rPr>
              <w:sz w:val="24"/>
              <w:szCs w:val="24"/>
            </w:rPr>
            <w:fldChar w:fldCharType="begin"/>
          </w:r>
          <w:r>
            <w:rPr>
              <w:sz w:val="24"/>
              <w:szCs w:val="24"/>
            </w:rPr>
            <w:instrText xml:space="preserve"> PAGEREF _Toc8703 </w:instrText>
          </w:r>
          <w:r>
            <w:rPr>
              <w:sz w:val="24"/>
              <w:szCs w:val="24"/>
            </w:rPr>
            <w:fldChar w:fldCharType="separate"/>
          </w:r>
          <w:r>
            <w:rPr>
              <w:sz w:val="24"/>
              <w:szCs w:val="24"/>
            </w:rPr>
            <w:t>6</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_Toc9918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（六） 计划进度安排</w:t>
          </w:r>
          <w:r>
            <w:rPr>
              <w:sz w:val="24"/>
              <w:szCs w:val="24"/>
            </w:rPr>
            <w:tab/>
          </w:r>
          <w:r>
            <w:rPr>
              <w:sz w:val="24"/>
              <w:szCs w:val="24"/>
            </w:rPr>
            <w:fldChar w:fldCharType="begin"/>
          </w:r>
          <w:r>
            <w:rPr>
              <w:sz w:val="24"/>
              <w:szCs w:val="24"/>
            </w:rPr>
            <w:instrText xml:space="preserve"> PAGEREF _Toc9918 </w:instrText>
          </w:r>
          <w:r>
            <w:rPr>
              <w:sz w:val="24"/>
              <w:szCs w:val="24"/>
            </w:rPr>
            <w:fldChar w:fldCharType="separate"/>
          </w:r>
          <w:r>
            <w:rPr>
              <w:sz w:val="24"/>
              <w:szCs w:val="24"/>
            </w:rPr>
            <w:t>6</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_Toc2342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（七） 经费预算合理性评估</w:t>
          </w:r>
          <w:r>
            <w:rPr>
              <w:sz w:val="24"/>
              <w:szCs w:val="24"/>
            </w:rPr>
            <w:tab/>
          </w:r>
          <w:r>
            <w:rPr>
              <w:sz w:val="24"/>
              <w:szCs w:val="24"/>
            </w:rPr>
            <w:fldChar w:fldCharType="begin"/>
          </w:r>
          <w:r>
            <w:rPr>
              <w:sz w:val="24"/>
              <w:szCs w:val="24"/>
            </w:rPr>
            <w:instrText xml:space="preserve"> PAGEREF _Toc2342 </w:instrText>
          </w:r>
          <w:r>
            <w:rPr>
              <w:sz w:val="24"/>
              <w:szCs w:val="24"/>
            </w:rPr>
            <w:fldChar w:fldCharType="separate"/>
          </w:r>
          <w:r>
            <w:rPr>
              <w:sz w:val="24"/>
              <w:szCs w:val="24"/>
            </w:rPr>
            <w:t>7</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_Toc10223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（八） 项目实施绩效</w:t>
          </w:r>
          <w:r>
            <w:rPr>
              <w:sz w:val="24"/>
              <w:szCs w:val="24"/>
            </w:rPr>
            <w:tab/>
          </w:r>
          <w:r>
            <w:rPr>
              <w:sz w:val="24"/>
              <w:szCs w:val="24"/>
            </w:rPr>
            <w:fldChar w:fldCharType="begin"/>
          </w:r>
          <w:r>
            <w:rPr>
              <w:sz w:val="24"/>
              <w:szCs w:val="24"/>
            </w:rPr>
            <w:instrText xml:space="preserve"> PAGEREF _Toc10223 </w:instrText>
          </w:r>
          <w:r>
            <w:rPr>
              <w:sz w:val="24"/>
              <w:szCs w:val="24"/>
            </w:rPr>
            <w:fldChar w:fldCharType="separate"/>
          </w:r>
          <w:r>
            <w:rPr>
              <w:sz w:val="24"/>
              <w:szCs w:val="24"/>
            </w:rPr>
            <w:t>9</w:t>
          </w:r>
          <w:r>
            <w:rPr>
              <w:sz w:val="24"/>
              <w:szCs w:val="24"/>
            </w:rPr>
            <w:fldChar w:fldCharType="end"/>
          </w:r>
          <w:r>
            <w:rPr>
              <w:rFonts w:hint="eastAsia" w:ascii="宋体" w:hAnsi="宋体" w:eastAsia="宋体" w:cs="宋体"/>
              <w:bCs/>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_Toc29125 </w:instrText>
          </w:r>
          <w:r>
            <w:rPr>
              <w:rFonts w:hint="eastAsia" w:ascii="宋体" w:hAnsi="宋体" w:eastAsia="宋体" w:cs="宋体"/>
              <w:bCs/>
              <w:sz w:val="24"/>
              <w:szCs w:val="24"/>
              <w:lang w:val="en-US" w:eastAsia="zh-CN"/>
            </w:rPr>
            <w:fldChar w:fldCharType="separate"/>
          </w:r>
          <w:r>
            <w:rPr>
              <w:rFonts w:hint="eastAsia"/>
              <w:sz w:val="24"/>
              <w:szCs w:val="24"/>
              <w:lang w:val="en-US" w:eastAsia="zh-CN"/>
            </w:rPr>
            <w:t>二、 项目风险评估</w:t>
          </w:r>
          <w:r>
            <w:rPr>
              <w:sz w:val="24"/>
              <w:szCs w:val="24"/>
            </w:rPr>
            <w:tab/>
          </w:r>
          <w:r>
            <w:rPr>
              <w:sz w:val="24"/>
              <w:szCs w:val="24"/>
            </w:rPr>
            <w:fldChar w:fldCharType="begin"/>
          </w:r>
          <w:r>
            <w:rPr>
              <w:sz w:val="24"/>
              <w:szCs w:val="24"/>
            </w:rPr>
            <w:instrText xml:space="preserve"> PAGEREF _Toc29125 </w:instrText>
          </w:r>
          <w:r>
            <w:rPr>
              <w:sz w:val="24"/>
              <w:szCs w:val="24"/>
            </w:rPr>
            <w:fldChar w:fldCharType="separate"/>
          </w:r>
          <w:r>
            <w:rPr>
              <w:sz w:val="24"/>
              <w:szCs w:val="24"/>
            </w:rPr>
            <w:t>9</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_Toc31012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（一）风险分析及应对</w:t>
          </w:r>
          <w:r>
            <w:rPr>
              <w:sz w:val="24"/>
              <w:szCs w:val="24"/>
            </w:rPr>
            <w:tab/>
          </w:r>
          <w:r>
            <w:rPr>
              <w:sz w:val="24"/>
              <w:szCs w:val="24"/>
            </w:rPr>
            <w:fldChar w:fldCharType="begin"/>
          </w:r>
          <w:r>
            <w:rPr>
              <w:sz w:val="24"/>
              <w:szCs w:val="24"/>
            </w:rPr>
            <w:instrText xml:space="preserve"> PAGEREF _Toc31012 </w:instrText>
          </w:r>
          <w:r>
            <w:rPr>
              <w:sz w:val="24"/>
              <w:szCs w:val="24"/>
            </w:rPr>
            <w:fldChar w:fldCharType="separate"/>
          </w:r>
          <w:r>
            <w:rPr>
              <w:sz w:val="24"/>
              <w:szCs w:val="24"/>
            </w:rPr>
            <w:t>9</w:t>
          </w:r>
          <w:r>
            <w:rPr>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_Toc28176 </w:instrText>
          </w:r>
          <w:r>
            <w:rPr>
              <w:rFonts w:hint="eastAsia" w:ascii="宋体" w:hAnsi="宋体" w:eastAsia="宋体" w:cs="宋体"/>
              <w:bCs/>
              <w:sz w:val="24"/>
              <w:szCs w:val="24"/>
              <w:lang w:val="en-US" w:eastAsia="zh-CN"/>
            </w:rPr>
            <w:fldChar w:fldCharType="separate"/>
          </w:r>
          <w:r>
            <w:rPr>
              <w:rFonts w:hint="eastAsia"/>
              <w:sz w:val="24"/>
              <w:szCs w:val="24"/>
              <w:lang w:val="en-US" w:eastAsia="zh-CN"/>
            </w:rPr>
            <w:t>1.1 技术风险</w:t>
          </w:r>
          <w:r>
            <w:rPr>
              <w:sz w:val="24"/>
              <w:szCs w:val="24"/>
            </w:rPr>
            <w:tab/>
          </w:r>
          <w:r>
            <w:rPr>
              <w:sz w:val="24"/>
              <w:szCs w:val="24"/>
            </w:rPr>
            <w:fldChar w:fldCharType="begin"/>
          </w:r>
          <w:r>
            <w:rPr>
              <w:sz w:val="24"/>
              <w:szCs w:val="24"/>
            </w:rPr>
            <w:instrText xml:space="preserve"> PAGEREF _Toc28176 </w:instrText>
          </w:r>
          <w:r>
            <w:rPr>
              <w:sz w:val="24"/>
              <w:szCs w:val="24"/>
            </w:rPr>
            <w:fldChar w:fldCharType="separate"/>
          </w:r>
          <w:r>
            <w:rPr>
              <w:sz w:val="24"/>
              <w:szCs w:val="24"/>
            </w:rPr>
            <w:t>9</w:t>
          </w:r>
          <w:r>
            <w:rPr>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_Toc293 </w:instrText>
          </w:r>
          <w:r>
            <w:rPr>
              <w:rFonts w:hint="eastAsia" w:ascii="宋体" w:hAnsi="宋体" w:eastAsia="宋体" w:cs="宋体"/>
              <w:bCs/>
              <w:sz w:val="24"/>
              <w:szCs w:val="24"/>
              <w:lang w:val="en-US" w:eastAsia="zh-CN"/>
            </w:rPr>
            <w:fldChar w:fldCharType="separate"/>
          </w:r>
          <w:r>
            <w:rPr>
              <w:rFonts w:hint="eastAsia"/>
              <w:sz w:val="24"/>
              <w:szCs w:val="24"/>
              <w:lang w:val="en-US" w:eastAsia="zh-CN"/>
            </w:rPr>
            <w:t>1.2 实施风险</w:t>
          </w:r>
          <w:r>
            <w:rPr>
              <w:sz w:val="24"/>
              <w:szCs w:val="24"/>
            </w:rPr>
            <w:tab/>
          </w:r>
          <w:r>
            <w:rPr>
              <w:sz w:val="24"/>
              <w:szCs w:val="24"/>
            </w:rPr>
            <w:fldChar w:fldCharType="begin"/>
          </w:r>
          <w:r>
            <w:rPr>
              <w:sz w:val="24"/>
              <w:szCs w:val="24"/>
            </w:rPr>
            <w:instrText xml:space="preserve"> PAGEREF _Toc293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_Toc31117 </w:instrText>
          </w:r>
          <w:r>
            <w:rPr>
              <w:rFonts w:hint="eastAsia" w:ascii="宋体" w:hAnsi="宋体" w:eastAsia="宋体" w:cs="宋体"/>
              <w:bCs/>
              <w:sz w:val="24"/>
              <w:szCs w:val="24"/>
              <w:lang w:val="en-US" w:eastAsia="zh-CN"/>
            </w:rPr>
            <w:fldChar w:fldCharType="separate"/>
          </w:r>
          <w:r>
            <w:rPr>
              <w:rFonts w:hint="eastAsia"/>
              <w:sz w:val="24"/>
              <w:szCs w:val="24"/>
              <w:lang w:val="en-US" w:eastAsia="zh-CN"/>
            </w:rPr>
            <w:t>1.3 其他风险</w:t>
          </w:r>
          <w:r>
            <w:rPr>
              <w:sz w:val="24"/>
              <w:szCs w:val="24"/>
            </w:rPr>
            <w:tab/>
          </w:r>
          <w:r>
            <w:rPr>
              <w:sz w:val="24"/>
              <w:szCs w:val="24"/>
            </w:rPr>
            <w:fldChar w:fldCharType="begin"/>
          </w:r>
          <w:r>
            <w:rPr>
              <w:sz w:val="24"/>
              <w:szCs w:val="24"/>
            </w:rPr>
            <w:instrText xml:space="preserve"> PAGEREF _Toc31117 </w:instrText>
          </w:r>
          <w:r>
            <w:rPr>
              <w:sz w:val="24"/>
              <w:szCs w:val="24"/>
            </w:rPr>
            <w:fldChar w:fldCharType="separate"/>
          </w:r>
          <w:r>
            <w:rPr>
              <w:sz w:val="24"/>
              <w:szCs w:val="24"/>
            </w:rPr>
            <w:t>10</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_Toc9677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（二）风险评估</w:t>
          </w:r>
          <w:r>
            <w:rPr>
              <w:sz w:val="24"/>
              <w:szCs w:val="24"/>
            </w:rPr>
            <w:tab/>
          </w:r>
          <w:r>
            <w:rPr>
              <w:sz w:val="24"/>
              <w:szCs w:val="24"/>
            </w:rPr>
            <w:fldChar w:fldCharType="begin"/>
          </w:r>
          <w:r>
            <w:rPr>
              <w:sz w:val="24"/>
              <w:szCs w:val="24"/>
            </w:rPr>
            <w:instrText xml:space="preserve"> PAGEREF _Toc9677 </w:instrText>
          </w:r>
          <w:r>
            <w:rPr>
              <w:sz w:val="24"/>
              <w:szCs w:val="24"/>
            </w:rPr>
            <w:fldChar w:fldCharType="separate"/>
          </w:r>
          <w:r>
            <w:rPr>
              <w:sz w:val="24"/>
              <w:szCs w:val="24"/>
            </w:rPr>
            <w:t>11</w:t>
          </w:r>
          <w:r>
            <w:rPr>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_Toc8533 </w:instrText>
          </w:r>
          <w:r>
            <w:rPr>
              <w:rFonts w:hint="eastAsia" w:ascii="宋体" w:hAnsi="宋体" w:eastAsia="宋体" w:cs="宋体"/>
              <w:bCs/>
              <w:sz w:val="24"/>
              <w:szCs w:val="24"/>
              <w:lang w:val="en-US" w:eastAsia="zh-CN"/>
            </w:rPr>
            <w:fldChar w:fldCharType="separate"/>
          </w:r>
          <w:r>
            <w:rPr>
              <w:rFonts w:hint="eastAsia"/>
              <w:sz w:val="24"/>
              <w:szCs w:val="24"/>
              <w:lang w:val="en-US" w:eastAsia="zh-CN"/>
            </w:rPr>
            <w:t>2.1 风险评价</w:t>
          </w:r>
          <w:r>
            <w:rPr>
              <w:sz w:val="24"/>
              <w:szCs w:val="24"/>
            </w:rPr>
            <w:tab/>
          </w:r>
          <w:r>
            <w:rPr>
              <w:sz w:val="24"/>
              <w:szCs w:val="24"/>
            </w:rPr>
            <w:fldChar w:fldCharType="begin"/>
          </w:r>
          <w:r>
            <w:rPr>
              <w:sz w:val="24"/>
              <w:szCs w:val="24"/>
            </w:rPr>
            <w:instrText xml:space="preserve"> PAGEREF _Toc8533 </w:instrText>
          </w:r>
          <w:r>
            <w:rPr>
              <w:sz w:val="24"/>
              <w:szCs w:val="24"/>
            </w:rPr>
            <w:fldChar w:fldCharType="separate"/>
          </w:r>
          <w:r>
            <w:rPr>
              <w:sz w:val="24"/>
              <w:szCs w:val="24"/>
            </w:rPr>
            <w:t>11</w:t>
          </w:r>
          <w:r>
            <w:rPr>
              <w:sz w:val="24"/>
              <w:szCs w:val="24"/>
            </w:rPr>
            <w:fldChar w:fldCharType="end"/>
          </w:r>
          <w:r>
            <w:rPr>
              <w:rFonts w:hint="eastAsia" w:ascii="宋体" w:hAnsi="宋体" w:eastAsia="宋体" w:cs="宋体"/>
              <w:bCs/>
              <w:sz w:val="24"/>
              <w:szCs w:val="24"/>
              <w:lang w:val="en-US" w:eastAsia="zh-CN"/>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_Toc11224 </w:instrText>
          </w:r>
          <w:r>
            <w:rPr>
              <w:rFonts w:hint="eastAsia" w:ascii="宋体" w:hAnsi="宋体" w:eastAsia="宋体" w:cs="宋体"/>
              <w:bCs/>
              <w:sz w:val="24"/>
              <w:szCs w:val="24"/>
              <w:lang w:val="en-US" w:eastAsia="zh-CN"/>
            </w:rPr>
            <w:fldChar w:fldCharType="separate"/>
          </w:r>
          <w:r>
            <w:rPr>
              <w:rFonts w:hint="eastAsia"/>
              <w:sz w:val="24"/>
              <w:szCs w:val="24"/>
              <w:lang w:val="en-US" w:eastAsia="zh-CN"/>
            </w:rPr>
            <w:t>2.2 综合评价</w:t>
          </w:r>
          <w:r>
            <w:rPr>
              <w:sz w:val="24"/>
              <w:szCs w:val="24"/>
            </w:rPr>
            <w:tab/>
          </w:r>
          <w:r>
            <w:rPr>
              <w:sz w:val="24"/>
              <w:szCs w:val="24"/>
            </w:rPr>
            <w:fldChar w:fldCharType="begin"/>
          </w:r>
          <w:r>
            <w:rPr>
              <w:sz w:val="24"/>
              <w:szCs w:val="24"/>
            </w:rPr>
            <w:instrText xml:space="preserve"> PAGEREF _Toc11224 </w:instrText>
          </w:r>
          <w:r>
            <w:rPr>
              <w:sz w:val="24"/>
              <w:szCs w:val="24"/>
            </w:rPr>
            <w:fldChar w:fldCharType="separate"/>
          </w:r>
          <w:r>
            <w:rPr>
              <w:sz w:val="24"/>
              <w:szCs w:val="24"/>
            </w:rPr>
            <w:t>11</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_Toc23338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kern w:val="0"/>
              <w:sz w:val="24"/>
              <w:szCs w:val="24"/>
              <w:lang w:val="en-US" w:eastAsia="zh-CN" w:bidi="ar"/>
            </w:rPr>
            <w:t>（三）风险评估结论</w:t>
          </w:r>
          <w:r>
            <w:rPr>
              <w:sz w:val="24"/>
              <w:szCs w:val="24"/>
            </w:rPr>
            <w:tab/>
          </w:r>
          <w:r>
            <w:rPr>
              <w:sz w:val="24"/>
              <w:szCs w:val="24"/>
            </w:rPr>
            <w:fldChar w:fldCharType="begin"/>
          </w:r>
          <w:r>
            <w:rPr>
              <w:sz w:val="24"/>
              <w:szCs w:val="24"/>
            </w:rPr>
            <w:instrText xml:space="preserve"> PAGEREF _Toc23338 </w:instrText>
          </w:r>
          <w:r>
            <w:rPr>
              <w:sz w:val="24"/>
              <w:szCs w:val="24"/>
            </w:rPr>
            <w:fldChar w:fldCharType="separate"/>
          </w:r>
          <w:r>
            <w:rPr>
              <w:sz w:val="24"/>
              <w:szCs w:val="24"/>
            </w:rPr>
            <w:t>11</w:t>
          </w:r>
          <w:r>
            <w:rPr>
              <w:sz w:val="24"/>
              <w:szCs w:val="24"/>
            </w:rPr>
            <w:fldChar w:fldCharType="end"/>
          </w:r>
          <w:r>
            <w:rPr>
              <w:rFonts w:hint="eastAsia" w:ascii="宋体" w:hAnsi="宋体" w:eastAsia="宋体" w:cs="宋体"/>
              <w:bCs/>
              <w:sz w:val="24"/>
              <w:szCs w:val="24"/>
              <w:lang w:val="en-US" w:eastAsia="zh-CN"/>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_Toc19982 </w:instrText>
          </w:r>
          <w:r>
            <w:rPr>
              <w:rFonts w:hint="eastAsia" w:ascii="宋体" w:hAnsi="宋体" w:eastAsia="宋体" w:cs="宋体"/>
              <w:bCs/>
              <w:sz w:val="24"/>
              <w:szCs w:val="24"/>
              <w:lang w:val="en-US" w:eastAsia="zh-CN"/>
            </w:rPr>
            <w:fldChar w:fldCharType="separate"/>
          </w:r>
          <w:r>
            <w:rPr>
              <w:rFonts w:hint="eastAsia"/>
              <w:sz w:val="24"/>
              <w:szCs w:val="24"/>
              <w:lang w:val="en-US" w:eastAsia="zh-CN"/>
            </w:rPr>
            <w:t>三、 前期工作基础</w:t>
          </w:r>
          <w:r>
            <w:rPr>
              <w:sz w:val="24"/>
              <w:szCs w:val="24"/>
            </w:rPr>
            <w:tab/>
          </w:r>
          <w:r>
            <w:rPr>
              <w:sz w:val="24"/>
              <w:szCs w:val="24"/>
            </w:rPr>
            <w:fldChar w:fldCharType="begin"/>
          </w:r>
          <w:r>
            <w:rPr>
              <w:sz w:val="24"/>
              <w:szCs w:val="24"/>
            </w:rPr>
            <w:instrText xml:space="preserve"> PAGEREF _Toc19982 </w:instrText>
          </w:r>
          <w:r>
            <w:rPr>
              <w:sz w:val="24"/>
              <w:szCs w:val="24"/>
            </w:rPr>
            <w:fldChar w:fldCharType="separate"/>
          </w:r>
          <w:r>
            <w:rPr>
              <w:sz w:val="24"/>
              <w:szCs w:val="24"/>
            </w:rPr>
            <w:t>11</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_Toc27269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（一）现有研发条件</w:t>
          </w:r>
          <w:r>
            <w:rPr>
              <w:sz w:val="24"/>
              <w:szCs w:val="24"/>
            </w:rPr>
            <w:tab/>
          </w:r>
          <w:r>
            <w:rPr>
              <w:sz w:val="24"/>
              <w:szCs w:val="24"/>
            </w:rPr>
            <w:fldChar w:fldCharType="begin"/>
          </w:r>
          <w:r>
            <w:rPr>
              <w:sz w:val="24"/>
              <w:szCs w:val="24"/>
            </w:rPr>
            <w:instrText xml:space="preserve"> PAGEREF _Toc27269 </w:instrText>
          </w:r>
          <w:r>
            <w:rPr>
              <w:sz w:val="24"/>
              <w:szCs w:val="24"/>
            </w:rPr>
            <w:fldChar w:fldCharType="separate"/>
          </w:r>
          <w:r>
            <w:rPr>
              <w:sz w:val="24"/>
              <w:szCs w:val="24"/>
            </w:rPr>
            <w:t>11</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_Toc3756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（二）已有的研究基础和成果</w:t>
          </w:r>
          <w:r>
            <w:rPr>
              <w:sz w:val="24"/>
              <w:szCs w:val="24"/>
            </w:rPr>
            <w:tab/>
          </w:r>
          <w:r>
            <w:rPr>
              <w:sz w:val="24"/>
              <w:szCs w:val="24"/>
            </w:rPr>
            <w:fldChar w:fldCharType="begin"/>
          </w:r>
          <w:r>
            <w:rPr>
              <w:sz w:val="24"/>
              <w:szCs w:val="24"/>
            </w:rPr>
            <w:instrText xml:space="preserve"> PAGEREF _Toc3756 </w:instrText>
          </w:r>
          <w:r>
            <w:rPr>
              <w:sz w:val="24"/>
              <w:szCs w:val="24"/>
            </w:rPr>
            <w:fldChar w:fldCharType="separate"/>
          </w:r>
          <w:r>
            <w:rPr>
              <w:sz w:val="24"/>
              <w:szCs w:val="24"/>
            </w:rPr>
            <w:t>12</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_Toc27333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（三）与项目相关的知识产权情况</w:t>
          </w:r>
          <w:r>
            <w:rPr>
              <w:sz w:val="24"/>
              <w:szCs w:val="24"/>
            </w:rPr>
            <w:tab/>
          </w:r>
          <w:r>
            <w:rPr>
              <w:sz w:val="24"/>
              <w:szCs w:val="24"/>
            </w:rPr>
            <w:fldChar w:fldCharType="begin"/>
          </w:r>
          <w:r>
            <w:rPr>
              <w:sz w:val="24"/>
              <w:szCs w:val="24"/>
            </w:rPr>
            <w:instrText xml:space="preserve"> PAGEREF _Toc27333 </w:instrText>
          </w:r>
          <w:r>
            <w:rPr>
              <w:sz w:val="24"/>
              <w:szCs w:val="24"/>
            </w:rPr>
            <w:fldChar w:fldCharType="separate"/>
          </w:r>
          <w:r>
            <w:rPr>
              <w:sz w:val="24"/>
              <w:szCs w:val="24"/>
            </w:rPr>
            <w:t>13</w:t>
          </w:r>
          <w:r>
            <w:rPr>
              <w:sz w:val="24"/>
              <w:szCs w:val="24"/>
            </w:rPr>
            <w:fldChar w:fldCharType="end"/>
          </w:r>
          <w:r>
            <w:rPr>
              <w:rFonts w:hint="eastAsia" w:ascii="宋体" w:hAnsi="宋体" w:eastAsia="宋体" w:cs="宋体"/>
              <w:bCs/>
              <w:sz w:val="24"/>
              <w:szCs w:val="24"/>
              <w:lang w:val="en-US" w:eastAsia="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_Toc7489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val="en-US" w:eastAsia="zh-CN"/>
            </w:rPr>
            <w:t>（四）近三年直接获得国家、省、市、县科技部门资助的相关项目情况。</w:t>
          </w:r>
          <w:r>
            <w:rPr>
              <w:sz w:val="24"/>
              <w:szCs w:val="24"/>
            </w:rPr>
            <w:tab/>
          </w:r>
          <w:r>
            <w:rPr>
              <w:sz w:val="24"/>
              <w:szCs w:val="24"/>
            </w:rPr>
            <w:fldChar w:fldCharType="begin"/>
          </w:r>
          <w:r>
            <w:rPr>
              <w:sz w:val="24"/>
              <w:szCs w:val="24"/>
            </w:rPr>
            <w:instrText xml:space="preserve"> PAGEREF _Toc7489 </w:instrText>
          </w:r>
          <w:r>
            <w:rPr>
              <w:sz w:val="24"/>
              <w:szCs w:val="24"/>
            </w:rPr>
            <w:fldChar w:fldCharType="separate"/>
          </w:r>
          <w:r>
            <w:rPr>
              <w:sz w:val="24"/>
              <w:szCs w:val="24"/>
            </w:rPr>
            <w:t>14</w:t>
          </w:r>
          <w:r>
            <w:rPr>
              <w:sz w:val="24"/>
              <w:szCs w:val="24"/>
            </w:rPr>
            <w:fldChar w:fldCharType="end"/>
          </w:r>
          <w:r>
            <w:rPr>
              <w:rFonts w:hint="eastAsia" w:ascii="宋体" w:hAnsi="宋体" w:eastAsia="宋体" w:cs="宋体"/>
              <w:bCs/>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120" w:after="120"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bCs/>
              <w:sz w:val="24"/>
              <w:szCs w:val="24"/>
              <w:lang w:val="en-US" w:eastAsia="zh-CN"/>
            </w:rPr>
            <w:fldChar w:fldCharType="end"/>
          </w:r>
        </w:p>
      </w:sdtContent>
    </w:sdt>
    <w:p>
      <w:pPr>
        <w:pStyle w:val="2"/>
        <w:numPr>
          <w:ilvl w:val="0"/>
          <w:numId w:val="2"/>
        </w:numPr>
        <w:bidi w:val="0"/>
        <w:rPr>
          <w:rFonts w:hint="eastAsia"/>
          <w:sz w:val="32"/>
          <w:szCs w:val="20"/>
          <w:lang w:val="en-US" w:eastAsia="zh-CN"/>
        </w:rPr>
      </w:pPr>
      <w:bookmarkStart w:id="0" w:name="_Toc4002"/>
      <w:r>
        <w:rPr>
          <w:rFonts w:hint="eastAsia"/>
          <w:sz w:val="32"/>
          <w:szCs w:val="20"/>
          <w:lang w:val="en-US" w:eastAsia="zh-CN"/>
        </w:rPr>
        <w:t>项目实施方案</w:t>
      </w:r>
      <w:bookmarkEnd w:id="0"/>
    </w:p>
    <w:p>
      <w:pPr>
        <w:pStyle w:val="3"/>
        <w:numPr>
          <w:ilvl w:val="0"/>
          <w:numId w:val="3"/>
        </w:numPr>
        <w:bidi w:val="0"/>
        <w:rPr>
          <w:rFonts w:hint="eastAsia" w:ascii="宋体" w:hAnsi="宋体" w:eastAsia="宋体" w:cs="宋体"/>
          <w:sz w:val="28"/>
          <w:szCs w:val="22"/>
          <w:lang w:val="en-US" w:eastAsia="zh-CN"/>
        </w:rPr>
      </w:pPr>
      <w:bookmarkStart w:id="1" w:name="_Toc153"/>
      <w:r>
        <w:rPr>
          <w:rFonts w:hint="eastAsia" w:ascii="宋体" w:hAnsi="宋体" w:eastAsia="宋体" w:cs="宋体"/>
          <w:sz w:val="28"/>
          <w:szCs w:val="22"/>
          <w:lang w:val="en-US" w:eastAsia="zh-CN"/>
        </w:rPr>
        <w:t>总体方案、研发内容</w:t>
      </w:r>
      <w:bookmarkEnd w:id="1"/>
    </w:p>
    <w:p>
      <w:pPr>
        <w:pStyle w:val="4"/>
        <w:numPr>
          <w:ilvl w:val="1"/>
          <w:numId w:val="4"/>
        </w:numPr>
        <w:bidi w:val="0"/>
        <w:rPr>
          <w:rFonts w:hint="eastAsia"/>
          <w:sz w:val="24"/>
          <w:szCs w:val="21"/>
          <w:lang w:val="en-US" w:eastAsia="zh-CN"/>
        </w:rPr>
      </w:pPr>
      <w:bookmarkStart w:id="2" w:name="_Toc14366"/>
      <w:r>
        <w:rPr>
          <w:rFonts w:hint="eastAsia"/>
          <w:sz w:val="24"/>
          <w:szCs w:val="21"/>
          <w:lang w:val="en-US" w:eastAsia="zh-CN"/>
        </w:rPr>
        <w:t>总体方案</w:t>
      </w:r>
      <w:bookmarkEnd w:id="2"/>
    </w:p>
    <w:p>
      <w:pPr>
        <w:keepNext w:val="0"/>
        <w:keepLines w:val="0"/>
        <w:pageBreakBefore w:val="0"/>
        <w:widowControl w:val="0"/>
        <w:kinsoku/>
        <w:wordWrap/>
        <w:overflowPunct/>
        <w:topLinePunct w:val="0"/>
        <w:autoSpaceDE/>
        <w:autoSpaceDN/>
        <w:bidi w:val="0"/>
        <w:adjustRightInd/>
        <w:snapToGrid/>
        <w:spacing w:before="120" w:after="120" w:line="360" w:lineRule="auto"/>
        <w:ind w:firstLine="480" w:firstLineChars="200"/>
        <w:textAlignment w:val="auto"/>
        <w:rPr>
          <w:rFonts w:hint="eastAsia" w:ascii="宋体" w:hAnsi="宋体" w:eastAsia="宋体" w:cs="宋体"/>
          <w:i w:val="0"/>
          <w:caps w:val="0"/>
          <w:color w:val="313131"/>
          <w:spacing w:val="0"/>
          <w:sz w:val="24"/>
          <w:szCs w:val="24"/>
          <w:shd w:val="clear" w:fill="FFFFFF"/>
          <w:lang w:val="en-US" w:eastAsia="zh-CN"/>
        </w:rPr>
      </w:pPr>
      <w:r>
        <w:rPr>
          <w:rFonts w:hint="eastAsia" w:ascii="宋体" w:hAnsi="宋体" w:eastAsia="宋体" w:cs="宋体"/>
          <w:i w:val="0"/>
          <w:caps w:val="0"/>
          <w:color w:val="313131"/>
          <w:spacing w:val="0"/>
          <w:sz w:val="24"/>
          <w:szCs w:val="24"/>
          <w:shd w:val="clear" w:fill="FFFFFF"/>
          <w:lang w:val="en-US" w:eastAsia="zh-CN"/>
        </w:rPr>
        <w:t>5G天地一体化海上风电应用项目是融合地面5G、微波通信、卫星通信、北斗定位导航等技术构建陆海空天大带宽、高速率、低延时通信网络，搭载“海上风电集控运维管理平台”，实现海上风电场的实时监测、决策分析、远程操控、常态运维和应急响应等智慧化管理，为海上风电场的监控、巡防、运维提供了无人值守、高效率、低延时、低风险的解决方案。</w:t>
      </w:r>
    </w:p>
    <w:p>
      <w:pPr>
        <w:keepNext w:val="0"/>
        <w:keepLines w:val="0"/>
        <w:pageBreakBefore w:val="0"/>
        <w:widowControl w:val="0"/>
        <w:kinsoku/>
        <w:wordWrap/>
        <w:overflowPunct/>
        <w:topLinePunct w:val="0"/>
        <w:autoSpaceDE/>
        <w:autoSpaceDN/>
        <w:bidi w:val="0"/>
        <w:adjustRightInd/>
        <w:snapToGrid/>
        <w:spacing w:before="120" w:after="120" w:line="360" w:lineRule="auto"/>
        <w:ind w:firstLine="480" w:firstLineChars="200"/>
        <w:textAlignment w:val="auto"/>
        <w:rPr>
          <w:rFonts w:hint="default" w:ascii="宋体" w:hAnsi="宋体" w:eastAsia="宋体" w:cs="宋体"/>
          <w:i w:val="0"/>
          <w:caps w:val="0"/>
          <w:color w:val="313131"/>
          <w:spacing w:val="0"/>
          <w:sz w:val="24"/>
          <w:szCs w:val="24"/>
          <w:shd w:val="clear" w:fill="FFFFFF"/>
          <w:lang w:val="en-US" w:eastAsia="zh-CN"/>
        </w:rPr>
      </w:pPr>
      <w:r>
        <w:rPr>
          <w:rFonts w:hint="eastAsia" w:ascii="宋体" w:hAnsi="宋体" w:eastAsia="宋体" w:cs="宋体"/>
          <w:sz w:val="24"/>
          <w:szCs w:val="24"/>
          <w:lang w:val="en-US" w:eastAsia="zh-CN"/>
        </w:rPr>
        <w:t>总体目标：</w:t>
      </w:r>
      <w:r>
        <w:rPr>
          <w:rFonts w:hint="eastAsia" w:ascii="宋体" w:hAnsi="宋体" w:eastAsia="宋体" w:cs="宋体"/>
          <w:i w:val="0"/>
          <w:caps w:val="0"/>
          <w:color w:val="313131"/>
          <w:spacing w:val="0"/>
          <w:sz w:val="24"/>
          <w:szCs w:val="24"/>
          <w:shd w:val="clear" w:fill="FFFFFF"/>
          <w:lang w:val="en-US" w:eastAsia="zh-CN"/>
        </w:rPr>
        <w:t>有效解决因</w:t>
      </w:r>
      <w:r>
        <w:rPr>
          <w:rFonts w:hint="eastAsia" w:ascii="宋体" w:hAnsi="宋体" w:eastAsia="宋体" w:cs="宋体"/>
          <w:i w:val="0"/>
          <w:caps w:val="0"/>
          <w:color w:val="313131"/>
          <w:spacing w:val="0"/>
          <w:sz w:val="24"/>
          <w:szCs w:val="24"/>
          <w:shd w:val="clear" w:fill="FFFFFF"/>
        </w:rPr>
        <w:t>恶劣的维护环境和高难度的维护方式等原因，造成海上风电</w:t>
      </w:r>
      <w:r>
        <w:rPr>
          <w:rFonts w:hint="eastAsia" w:ascii="宋体" w:hAnsi="宋体" w:eastAsia="宋体" w:cs="宋体"/>
          <w:i w:val="0"/>
          <w:caps w:val="0"/>
          <w:color w:val="313131"/>
          <w:spacing w:val="0"/>
          <w:sz w:val="24"/>
          <w:szCs w:val="24"/>
          <w:shd w:val="clear" w:fill="FFFFFF"/>
          <w:lang w:val="en-US" w:eastAsia="zh-CN"/>
        </w:rPr>
        <w:t>场高</w:t>
      </w:r>
      <w:r>
        <w:rPr>
          <w:rFonts w:hint="eastAsia" w:ascii="宋体" w:hAnsi="宋体" w:eastAsia="宋体" w:cs="宋体"/>
          <w:i w:val="0"/>
          <w:caps w:val="0"/>
          <w:color w:val="313131"/>
          <w:spacing w:val="0"/>
          <w:sz w:val="24"/>
          <w:szCs w:val="24"/>
          <w:shd w:val="clear" w:fill="FFFFFF"/>
        </w:rPr>
        <w:t>故障</w:t>
      </w:r>
      <w:r>
        <w:rPr>
          <w:rFonts w:hint="eastAsia" w:ascii="宋体" w:hAnsi="宋体" w:eastAsia="宋体" w:cs="宋体"/>
          <w:i w:val="0"/>
          <w:caps w:val="0"/>
          <w:color w:val="313131"/>
          <w:spacing w:val="0"/>
          <w:sz w:val="24"/>
          <w:szCs w:val="24"/>
          <w:shd w:val="clear" w:fill="FFFFFF"/>
          <w:lang w:val="en-US" w:eastAsia="zh-CN"/>
        </w:rPr>
        <w:t>率</w:t>
      </w:r>
      <w:r>
        <w:rPr>
          <w:rFonts w:hint="eastAsia" w:ascii="宋体" w:hAnsi="宋体" w:eastAsia="宋体" w:cs="宋体"/>
          <w:i w:val="0"/>
          <w:caps w:val="0"/>
          <w:color w:val="313131"/>
          <w:spacing w:val="0"/>
          <w:sz w:val="24"/>
          <w:szCs w:val="24"/>
          <w:shd w:val="clear" w:fill="FFFFFF"/>
          <w:lang w:eastAsia="zh-CN"/>
        </w:rPr>
        <w:t>、</w:t>
      </w:r>
      <w:r>
        <w:rPr>
          <w:rFonts w:hint="eastAsia" w:ascii="宋体" w:hAnsi="宋体" w:eastAsia="宋体" w:cs="宋体"/>
          <w:i w:val="0"/>
          <w:caps w:val="0"/>
          <w:color w:val="313131"/>
          <w:spacing w:val="0"/>
          <w:sz w:val="24"/>
          <w:szCs w:val="24"/>
          <w:shd w:val="clear" w:fill="FFFFFF"/>
          <w:lang w:val="en-US" w:eastAsia="zh-CN"/>
        </w:rPr>
        <w:t>高危险性、高运维成本、高经营风险的痛点</w:t>
      </w:r>
      <w:r>
        <w:rPr>
          <w:rFonts w:hint="eastAsia" w:ascii="宋体" w:hAnsi="宋体" w:eastAsia="宋体" w:cs="宋体"/>
          <w:i w:val="0"/>
          <w:caps w:val="0"/>
          <w:color w:val="313131"/>
          <w:spacing w:val="0"/>
          <w:sz w:val="24"/>
          <w:szCs w:val="24"/>
          <w:shd w:val="clear" w:fill="FFFFFF"/>
        </w:rPr>
        <w:t>。</w:t>
      </w:r>
      <w:r>
        <w:rPr>
          <w:rFonts w:hint="eastAsia" w:ascii="宋体" w:hAnsi="宋体" w:eastAsia="宋体" w:cs="宋体"/>
          <w:sz w:val="24"/>
          <w:szCs w:val="24"/>
          <w:lang w:val="en-US" w:eastAsia="zh-CN"/>
        </w:rPr>
        <w:t>提升海上风力发电场的运维能力，降低海上风力发电场的运维成本，促进海上风电项目高质量、  低风险发展。</w:t>
      </w:r>
    </w:p>
    <w:p>
      <w:pPr>
        <w:pStyle w:val="4"/>
        <w:numPr>
          <w:ilvl w:val="1"/>
          <w:numId w:val="4"/>
        </w:numPr>
        <w:bidi w:val="0"/>
        <w:rPr>
          <w:rFonts w:hint="eastAsia"/>
          <w:b/>
          <w:sz w:val="24"/>
          <w:szCs w:val="21"/>
          <w:lang w:val="en-US" w:eastAsia="zh-CN"/>
        </w:rPr>
      </w:pPr>
      <w:bookmarkStart w:id="3" w:name="_Toc14083"/>
      <w:r>
        <w:rPr>
          <w:rFonts w:hint="eastAsia"/>
          <w:b/>
          <w:sz w:val="24"/>
          <w:szCs w:val="21"/>
          <w:lang w:val="en-US" w:eastAsia="zh-CN"/>
        </w:rPr>
        <w:t>研发内容</w:t>
      </w:r>
      <w:bookmarkEnd w:id="3"/>
    </w:p>
    <w:p>
      <w:pPr>
        <w:keepNext w:val="0"/>
        <w:keepLines w:val="0"/>
        <w:pageBreakBefore w:val="0"/>
        <w:widowControl w:val="0"/>
        <w:kinsoku/>
        <w:wordWrap/>
        <w:overflowPunct/>
        <w:topLinePunct w:val="0"/>
        <w:autoSpaceDE/>
        <w:autoSpaceDN/>
        <w:bidi w:val="0"/>
        <w:adjustRightInd/>
        <w:snapToGrid/>
        <w:spacing w:before="120" w:after="120" w:line="360" w:lineRule="auto"/>
        <w:ind w:firstLine="480" w:firstLineChars="200"/>
        <w:textAlignment w:val="auto"/>
        <w:rPr>
          <w:rFonts w:hint="eastAsia" w:ascii="宋体" w:hAnsi="宋体" w:eastAsia="宋体" w:cs="宋体"/>
          <w:b/>
          <w:sz w:val="24"/>
          <w:szCs w:val="24"/>
          <w:lang w:val="en-US"/>
        </w:rPr>
      </w:pPr>
      <w:r>
        <w:rPr>
          <w:rFonts w:hint="eastAsia" w:ascii="宋体" w:hAnsi="宋体" w:eastAsia="宋体" w:cs="宋体"/>
          <w:sz w:val="24"/>
          <w:szCs w:val="24"/>
          <w:lang w:val="en-US" w:eastAsia="zh-CN"/>
        </w:rPr>
        <w:t>5G天地一体化海上风电应用项目包含通信网络部分和软件平台部分的研发，通信网络部分是构建“5G天地一体化通信网络”，软件平台部分是研发“海上风电集控运维管理平台”，网络是路，软件是车、数据是货。</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（1）5G天地一体化通信网络设计与实施</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 海上风电控制运维中心的建设：微波链路与地面5G的接入，控制中心的网络构建，实时数据看板的搭建，控制中心与风电场站内原有系统搭建网络通路等。</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 海上风电大数据微波回传系统的建设：在每个风电桩上安装部署微波回传系统，形成由远及近的接力传输。</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 毫米波传感及射频集成系统的建设：在每个风电桩上安装部署毫米波传感器和射频集成系统，构建区域无死角大带宽局域网络。</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 海上风电终端通信系统的建设：在每台移动巡航设备上部署终端通信系统，实现与风电场无线局域网的无缝接入与切换。</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（2）海上风电集控运维平台设计与开发：</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 海上风电展示管理子系统开发：控制中心看板、PC端、移动端、后台运维端等。</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② 海上风电业务管理子系统开发：与海上风电场的原有管理系统（升压站系统、风机监控系统、风机能量管理系统、设备在线监测系统、箱变测控系统等）对接，实现风电场运行大数据的可视化呈现。及时掌握运行数据、实时监测环境数据；及时发现隐患并预警、实时发现故障并报警；快速启动应急响应机制等。提升海上风电场运行的全生命周期管理能力。</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 海上风电数据管理子系统开发：高效存储与管理来自风电场的远程数据，进行数据资源的高效管理与内部共享分发。</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 海上风电接口管理子系统开发：开发与海上风电场原有管理系统对接的各项数据接口和通信接口，实现数据实时系统内部共享。</w:t>
      </w:r>
    </w:p>
    <w:p>
      <w:pPr>
        <w:pStyle w:val="3"/>
        <w:numPr>
          <w:ilvl w:val="0"/>
          <w:numId w:val="3"/>
        </w:numPr>
        <w:bidi w:val="0"/>
        <w:rPr>
          <w:rFonts w:hint="eastAsia" w:ascii="宋体" w:hAnsi="宋体" w:eastAsia="宋体" w:cs="宋体"/>
          <w:b/>
          <w:sz w:val="28"/>
          <w:szCs w:val="22"/>
          <w:lang w:val="en-US" w:eastAsia="zh-CN"/>
        </w:rPr>
      </w:pPr>
      <w:bookmarkStart w:id="4" w:name="_Toc15337"/>
      <w:r>
        <w:rPr>
          <w:rFonts w:hint="eastAsia" w:ascii="宋体" w:hAnsi="宋体" w:eastAsia="宋体" w:cs="宋体"/>
          <w:b/>
          <w:sz w:val="28"/>
          <w:szCs w:val="22"/>
          <w:lang w:val="en-US" w:eastAsia="zh-CN"/>
        </w:rPr>
        <w:t>拟解决的关键问题与技术路线</w:t>
      </w:r>
      <w:bookmarkEnd w:id="4"/>
    </w:p>
    <w:p>
      <w:pPr>
        <w:pStyle w:val="4"/>
        <w:numPr>
          <w:ilvl w:val="0"/>
          <w:numId w:val="0"/>
        </w:numPr>
        <w:bidi w:val="0"/>
        <w:ind w:leftChars="0"/>
        <w:rPr>
          <w:rFonts w:hint="eastAsia"/>
          <w:b/>
          <w:sz w:val="24"/>
          <w:szCs w:val="21"/>
          <w:lang w:val="en-US" w:eastAsia="zh-CN"/>
        </w:rPr>
      </w:pPr>
      <w:bookmarkStart w:id="5" w:name="_Toc4776"/>
      <w:r>
        <w:rPr>
          <w:rFonts w:hint="eastAsia"/>
          <w:b/>
          <w:sz w:val="24"/>
          <w:szCs w:val="21"/>
          <w:lang w:val="en-US" w:eastAsia="zh-CN"/>
        </w:rPr>
        <w:t>2.1 拟解决的关键问题</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（1）利用微波站及点对点通讯设备构建大带宽、高速率、低延时通信主链路；</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（2）利用扇区小基站构建大带宽无线局域网，实现风电场区域的全方位无死角覆盖；</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（3）在无人机、无人船等巡航设备上安装专用终端通信系统无缝接入风电场无线局域网实现动态数据实时回传；</w:t>
      </w:r>
    </w:p>
    <w:p>
      <w:pPr>
        <w:keepNext w:val="0"/>
        <w:keepLines w:val="0"/>
        <w:pageBreakBefore w:val="0"/>
        <w:numPr>
          <w:ilvl w:val="0"/>
          <w:numId w:val="0"/>
        </w:numPr>
        <w:kinsoku/>
        <w:wordWrap/>
        <w:overflowPunct/>
        <w:topLinePunct w:val="0"/>
        <w:autoSpaceDE/>
        <w:autoSpaceDN/>
        <w:bidi w:val="0"/>
        <w:adjustRightInd/>
        <w:snapToGrid/>
        <w:spacing w:before="120" w:after="120"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（4）设计建设可交互的集控运维中心，实现海上风电场的智慧化、远程化、无人值守化管理。</w:t>
      </w:r>
    </w:p>
    <w:p>
      <w:pPr>
        <w:pStyle w:val="4"/>
        <w:numPr>
          <w:ilvl w:val="0"/>
          <w:numId w:val="0"/>
        </w:numPr>
        <w:bidi w:val="0"/>
        <w:ind w:leftChars="0"/>
        <w:rPr>
          <w:rFonts w:hint="default"/>
          <w:b/>
          <w:sz w:val="24"/>
          <w:szCs w:val="21"/>
          <w:lang w:val="en-US" w:eastAsia="zh-CN"/>
        </w:rPr>
      </w:pPr>
      <w:bookmarkStart w:id="6" w:name="_Toc24453"/>
      <w:r>
        <w:rPr>
          <w:rFonts w:hint="eastAsia"/>
          <w:b/>
          <w:sz w:val="24"/>
          <w:szCs w:val="21"/>
          <w:lang w:val="en-US" w:eastAsia="zh-CN"/>
        </w:rPr>
        <w:t>2.2 技术路线</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实地考察与沟通：经过现场勘查测绘和运维团队的沟通交流，获取海上风电场的区域空间数据、环境气候数据、装备部署数据；了解目前运行维护机制、运行维护状况及各子系统功能；了解当前的难点、痛点、盲点、隐患点及风险点。组织整理各项资料和信息，作为方案设计的基础信息。</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（2）技术资料整理：综合现场资料和测绘结果，结合团队自身技术知识和经验，广泛查阅国内外相关文献资料，包括研究文献、专利、技术标准、现有设备性能等。</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（3）初步方案制定：划分功能模块及子系统，初步制定各模块及子系统的实施方式，包括采购、定制、自主研发等。</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（4）设备选型与结构设计：确定采购的设备进入采购流程，需要定制的专用设备需与有关方面签订合同，需要自主研发的部件和装置进入结构设计阶段。 </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（5）自主研发部分的系统研发、样机制造与装配，微波链路部分进行局部范围的安装、调试、试运行。</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（6）通过试运行改进方案，确定最终的设计方案与实施方案，按照方案进行实际设备制造装配、现场施工、安装调试、系统上线及整体试运行。</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（7）改进与调试、项目整体验收：方案优化回到步骤 5 步骤 6 步骤 7 反复进行，调整技术参数直至满足验收标准。</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（8）整理技术资料，结题。</w:t>
      </w:r>
    </w:p>
    <w:p>
      <w:pPr>
        <w:pStyle w:val="3"/>
        <w:numPr>
          <w:ilvl w:val="0"/>
          <w:numId w:val="3"/>
        </w:numPr>
        <w:bidi w:val="0"/>
        <w:rPr>
          <w:rFonts w:hint="eastAsia" w:ascii="宋体" w:hAnsi="宋体" w:eastAsia="宋体" w:cs="宋体"/>
          <w:b/>
          <w:sz w:val="28"/>
          <w:szCs w:val="22"/>
          <w:lang w:val="en-US" w:eastAsia="zh-CN"/>
        </w:rPr>
      </w:pPr>
      <w:bookmarkStart w:id="7" w:name="_Toc16716"/>
      <w:r>
        <w:rPr>
          <w:rFonts w:hint="eastAsia" w:ascii="宋体" w:hAnsi="宋体" w:eastAsia="宋体" w:cs="宋体"/>
          <w:b/>
          <w:sz w:val="28"/>
          <w:szCs w:val="22"/>
          <w:lang w:val="en-US" w:eastAsia="zh-CN"/>
        </w:rPr>
        <w:t>创新点</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（1）首次在海上风电场实现传感器多数据回传。</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（2）实现面向海上风电场特殊环境的传感通信系统。</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（3）实现大带宽、高速率、低延时的5G网络从陆地向风电场的延伸。</w:t>
      </w:r>
    </w:p>
    <w:p>
      <w:pPr>
        <w:pStyle w:val="3"/>
        <w:numPr>
          <w:ilvl w:val="0"/>
          <w:numId w:val="3"/>
        </w:numPr>
        <w:bidi w:val="0"/>
        <w:rPr>
          <w:rFonts w:hint="eastAsia" w:ascii="宋体" w:hAnsi="宋体" w:eastAsia="宋体" w:cs="宋体"/>
          <w:b/>
          <w:sz w:val="28"/>
          <w:szCs w:val="22"/>
          <w:lang w:val="en-US" w:eastAsia="zh-CN"/>
        </w:rPr>
      </w:pPr>
      <w:bookmarkStart w:id="8" w:name="_Toc20428"/>
      <w:r>
        <w:rPr>
          <w:rFonts w:hint="eastAsia" w:ascii="宋体" w:hAnsi="宋体" w:eastAsia="宋体" w:cs="宋体"/>
          <w:b/>
          <w:sz w:val="28"/>
          <w:szCs w:val="22"/>
          <w:lang w:val="en-US" w:eastAsia="zh-CN"/>
        </w:rPr>
        <w:t>组织方式</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（1）以课题研究形式开展，设计原理及设计方案在课题组内进行。基于应用场景的系统和架构将在课题组内自主完成。</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设备采购、样机研发、装备集成采取自主加合作的方式开展，样机制造和装配外包到满足资质要求的机构进行，样机的实验和调试在合作企业的实际工况下进行，有课题组派专门人员在现场针对样机情况提出改进方向。</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（3）软件平台的核心子系统如数据接口子系统、通信接口子系统及系统集成自主完成，其他展示子系统、业务子系统等采取合作委外方式完成。</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（4）项目施工采取课题组现场指导监督、施工合作单位施工的方式开展，施工合作单位必须具备从业资质和作业条件。安装后的调试与运行由设备合作商和课题组合作完成。</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（5）项目研发需要的仪器仪表及高额的固定资产不包含在预算内，由实验室自行解决。</w:t>
      </w:r>
    </w:p>
    <w:p>
      <w:pPr>
        <w:pStyle w:val="3"/>
        <w:numPr>
          <w:ilvl w:val="0"/>
          <w:numId w:val="3"/>
        </w:numPr>
        <w:bidi w:val="0"/>
        <w:rPr>
          <w:rFonts w:hint="eastAsia" w:ascii="宋体" w:hAnsi="宋体" w:eastAsia="宋体" w:cs="宋体"/>
          <w:b/>
          <w:sz w:val="28"/>
          <w:szCs w:val="22"/>
          <w:lang w:val="en-US" w:eastAsia="zh-CN"/>
        </w:rPr>
      </w:pPr>
      <w:bookmarkStart w:id="9" w:name="_Toc8703"/>
      <w:r>
        <w:rPr>
          <w:rFonts w:hint="eastAsia" w:ascii="宋体" w:hAnsi="宋体" w:eastAsia="宋体" w:cs="宋体"/>
          <w:b/>
          <w:sz w:val="28"/>
          <w:szCs w:val="22"/>
          <w:lang w:val="en-US" w:eastAsia="zh-CN"/>
        </w:rPr>
        <w:t>研究团队构成</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负责人朱嵘华博士是浙江大学教授、海上风电实验室主任，该科研学术团队由东君伟（美国弗吉尼亚理工学院通信工程博士）及实验室成员XXX、XXX共4名成员。该团队在微波通信、无线电测试、海上风电软件平台研发等领域拥有较强的研究和开发能力。同时，科研学术团队成员所拥有的所有科研资源都可以全力支撑本项目的完成。</w:t>
      </w:r>
    </w:p>
    <w:p>
      <w:pPr>
        <w:pStyle w:val="3"/>
        <w:numPr>
          <w:ilvl w:val="0"/>
          <w:numId w:val="3"/>
        </w:numPr>
        <w:bidi w:val="0"/>
        <w:rPr>
          <w:rFonts w:hint="eastAsia" w:ascii="宋体" w:hAnsi="宋体" w:eastAsia="宋体" w:cs="宋体"/>
          <w:b/>
          <w:sz w:val="28"/>
          <w:szCs w:val="22"/>
          <w:lang w:val="en-US" w:eastAsia="zh-CN"/>
        </w:rPr>
      </w:pPr>
      <w:bookmarkStart w:id="10" w:name="_Toc9918"/>
      <w:r>
        <w:rPr>
          <w:rFonts w:hint="eastAsia" w:ascii="宋体" w:hAnsi="宋体" w:eastAsia="宋体" w:cs="宋体"/>
          <w:b/>
          <w:sz w:val="28"/>
          <w:szCs w:val="22"/>
          <w:lang w:val="en-US" w:eastAsia="zh-CN"/>
        </w:rPr>
        <w:t>计划进度安排</w:t>
      </w:r>
      <w:bookmarkEnd w:id="10"/>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8"/>
        <w:gridCol w:w="5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8"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起止时间</w:t>
            </w:r>
          </w:p>
        </w:tc>
        <w:tc>
          <w:tcPr>
            <w:tcW w:w="5284"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主要工作内容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8"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2021年3月-4月</w:t>
            </w:r>
          </w:p>
        </w:tc>
        <w:tc>
          <w:tcPr>
            <w:tcW w:w="5284" w:type="dxa"/>
          </w:tcPr>
          <w:p>
            <w:pPr>
              <w:keepNext w:val="0"/>
              <w:keepLines w:val="0"/>
              <w:pageBreakBefore w:val="0"/>
              <w:widowControl w:val="0"/>
              <w:numPr>
                <w:ilvl w:val="0"/>
                <w:numId w:val="5"/>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实地考察，勘查测量；</w:t>
            </w:r>
          </w:p>
          <w:p>
            <w:pPr>
              <w:keepNext w:val="0"/>
              <w:keepLines w:val="0"/>
              <w:pageBreakBefore w:val="0"/>
              <w:widowControl w:val="0"/>
              <w:numPr>
                <w:ilvl w:val="0"/>
                <w:numId w:val="5"/>
              </w:numPr>
              <w:kinsoku/>
              <w:wordWrap/>
              <w:overflowPunct/>
              <w:topLinePunct w:val="0"/>
              <w:autoSpaceDE/>
              <w:autoSpaceDN/>
              <w:bidi w:val="0"/>
              <w:adjustRightInd/>
              <w:snapToGrid/>
              <w:spacing w:before="120" w:after="120"/>
              <w:jc w:val="both"/>
              <w:rPr>
                <w:rFonts w:hint="eastAsia" w:ascii="宋体" w:hAnsi="宋体" w:eastAsia="宋体" w:cs="宋体"/>
                <w:sz w:val="24"/>
                <w:szCs w:val="24"/>
                <w:vertAlign w:val="baseline"/>
                <w:lang w:val="en-US" w:eastAsia="zh-CN"/>
              </w:rPr>
            </w:pPr>
            <w:r>
              <w:rPr>
                <w:rFonts w:hint="eastAsia" w:ascii="宋体" w:hAnsi="宋体" w:eastAsia="宋体" w:cs="宋体"/>
                <w:color w:val="000000"/>
                <w:kern w:val="0"/>
                <w:sz w:val="24"/>
                <w:szCs w:val="24"/>
                <w:lang w:val="en-US" w:eastAsia="zh-CN" w:bidi="ar"/>
              </w:rPr>
              <w:t>熟悉风电场现有运维系统和运维机制；</w:t>
            </w:r>
          </w:p>
          <w:p>
            <w:pPr>
              <w:keepNext w:val="0"/>
              <w:keepLines w:val="0"/>
              <w:pageBreakBefore w:val="0"/>
              <w:widowControl w:val="0"/>
              <w:numPr>
                <w:ilvl w:val="0"/>
                <w:numId w:val="5"/>
              </w:numPr>
              <w:kinsoku/>
              <w:wordWrap/>
              <w:overflowPunct/>
              <w:topLinePunct w:val="0"/>
              <w:autoSpaceDE/>
              <w:autoSpaceDN/>
              <w:bidi w:val="0"/>
              <w:adjustRightInd/>
              <w:snapToGrid/>
              <w:spacing w:before="120" w:after="120"/>
              <w:jc w:val="both"/>
              <w:rPr>
                <w:rFonts w:hint="eastAsia" w:ascii="宋体" w:hAnsi="宋体" w:eastAsia="宋体" w:cs="宋体"/>
                <w:sz w:val="24"/>
                <w:szCs w:val="24"/>
                <w:vertAlign w:val="baseline"/>
                <w:lang w:val="en-US" w:eastAsia="zh-CN"/>
              </w:rPr>
            </w:pPr>
            <w:r>
              <w:rPr>
                <w:rFonts w:hint="eastAsia" w:ascii="宋体" w:hAnsi="宋体" w:eastAsia="宋体" w:cs="宋体"/>
                <w:color w:val="000000"/>
                <w:kern w:val="0"/>
                <w:sz w:val="24"/>
                <w:szCs w:val="24"/>
                <w:lang w:val="en-US" w:eastAsia="zh-CN" w:bidi="ar"/>
              </w:rPr>
              <w:t>技术与数据资料整理。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8"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2021年5月-6月</w:t>
            </w:r>
          </w:p>
        </w:tc>
        <w:tc>
          <w:tcPr>
            <w:tcW w:w="5284" w:type="dxa"/>
          </w:tcPr>
          <w:p>
            <w:pPr>
              <w:keepNext w:val="0"/>
              <w:keepLines w:val="0"/>
              <w:pageBreakBefore w:val="0"/>
              <w:widowControl w:val="0"/>
              <w:numPr>
                <w:ilvl w:val="0"/>
                <w:numId w:val="6"/>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总体方案设计包括5G天地一体化海上通信网络方案设计和海上风电监控运维平台方案设计。</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项目研发用的仪器设备采购。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8"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2021年7月-9月</w:t>
            </w:r>
          </w:p>
        </w:tc>
        <w:tc>
          <w:tcPr>
            <w:tcW w:w="5284" w:type="dxa"/>
          </w:tcPr>
          <w:p>
            <w:pPr>
              <w:keepNext w:val="0"/>
              <w:keepLines w:val="0"/>
              <w:pageBreakBefore w:val="0"/>
              <w:widowControl w:val="0"/>
              <w:numPr>
                <w:ilvl w:val="0"/>
                <w:numId w:val="7"/>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风电桩无线覆盖硬件设备的选型和研发。</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风电桩和海陵岛微波高速数据传输设备的选型与研发。</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无人机和无人船数据传输设备的选型和研发。</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海陵岛微波传输与5G网络设备的选型和研发。</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一阶段软件平台研发及工具的选型。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8"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2021年10月-2022年4月</w:t>
            </w:r>
          </w:p>
        </w:tc>
        <w:tc>
          <w:tcPr>
            <w:tcW w:w="5284" w:type="dxa"/>
          </w:tcPr>
          <w:p>
            <w:pPr>
              <w:keepNext w:val="0"/>
              <w:keepLines w:val="0"/>
              <w:pageBreakBefore w:val="0"/>
              <w:widowControl w:val="0"/>
              <w:numPr>
                <w:ilvl w:val="0"/>
                <w:numId w:val="8"/>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风电桩和无人机无人船数据传输系统的架设联调。</w:t>
            </w:r>
          </w:p>
          <w:p>
            <w:pPr>
              <w:keepNext w:val="0"/>
              <w:keepLines w:val="0"/>
              <w:pageBreakBefore w:val="0"/>
              <w:widowControl w:val="0"/>
              <w:numPr>
                <w:ilvl w:val="0"/>
                <w:numId w:val="8"/>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风电桩和海陵岛微波高速数据传输设备的架设联调。</w:t>
            </w:r>
          </w:p>
          <w:p>
            <w:pPr>
              <w:keepNext w:val="0"/>
              <w:keepLines w:val="0"/>
              <w:pageBreakBefore w:val="0"/>
              <w:widowControl w:val="0"/>
              <w:numPr>
                <w:numId w:val="0"/>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（3）海陵岛微波传输与5G网络融合架设联调。</w:t>
            </w:r>
          </w:p>
          <w:p>
            <w:pPr>
              <w:keepNext w:val="0"/>
              <w:keepLines w:val="0"/>
              <w:pageBreakBefore w:val="0"/>
              <w:widowControl w:val="0"/>
              <w:numPr>
                <w:numId w:val="0"/>
              </w:numPr>
              <w:kinsoku/>
              <w:wordWrap/>
              <w:overflowPunct/>
              <w:topLinePunct w:val="0"/>
              <w:autoSpaceDE/>
              <w:autoSpaceDN/>
              <w:bidi w:val="0"/>
              <w:adjustRightInd/>
              <w:snapToGrid/>
              <w:spacing w:before="120" w:after="12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（4）二阶段软件平台研发及系统集成。</w:t>
            </w:r>
          </w:p>
          <w:p>
            <w:pPr>
              <w:keepNext w:val="0"/>
              <w:keepLines w:val="0"/>
              <w:pageBreakBefore w:val="0"/>
              <w:widowControl w:val="0"/>
              <w:numPr>
                <w:numId w:val="0"/>
              </w:numPr>
              <w:kinsoku/>
              <w:wordWrap/>
              <w:overflowPunct/>
              <w:topLinePunct w:val="0"/>
              <w:autoSpaceDE/>
              <w:autoSpaceDN/>
              <w:bidi w:val="0"/>
              <w:adjustRightInd/>
              <w:snapToGrid/>
              <w:spacing w:before="120" w:after="120"/>
              <w:jc w:val="both"/>
              <w:rPr>
                <w:rFonts w:hint="default" w:ascii="宋体" w:hAnsi="宋体" w:eastAsia="宋体" w:cs="宋体"/>
                <w:sz w:val="24"/>
                <w:szCs w:val="24"/>
                <w:vertAlign w:val="baseline"/>
                <w:lang w:val="en-US" w:eastAsia="zh-CN"/>
              </w:rPr>
            </w:pPr>
            <w:r>
              <w:rPr>
                <w:rFonts w:hint="eastAsia" w:ascii="宋体" w:hAnsi="宋体" w:eastAsia="宋体" w:cs="宋体"/>
                <w:color w:val="000000"/>
                <w:kern w:val="0"/>
                <w:sz w:val="24"/>
                <w:szCs w:val="24"/>
                <w:lang w:val="en-US" w:eastAsia="zh-CN" w:bidi="ar"/>
              </w:rPr>
              <w:t>（5）</w:t>
            </w:r>
            <w:r>
              <w:rPr>
                <w:rFonts w:hint="eastAsia" w:ascii="宋体" w:hAnsi="Times New Roman" w:eastAsia="宋体" w:cs="宋体"/>
                <w:sz w:val="24"/>
                <w:szCs w:val="24"/>
                <w:lang w:val="en-US" w:eastAsia="zh-CN"/>
              </w:rPr>
              <w:t>海上风电场集控运维中心建设。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8"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2022年5月-6月</w:t>
            </w:r>
          </w:p>
        </w:tc>
        <w:tc>
          <w:tcPr>
            <w:tcW w:w="5284" w:type="dxa"/>
          </w:tcPr>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20" w:after="120"/>
              <w:jc w:val="left"/>
              <w:rPr>
                <w:rFonts w:hint="eastAsia" w:ascii="宋体" w:hAnsi="Times New Roman" w:eastAsia="宋体" w:cs="宋体"/>
                <w:sz w:val="24"/>
                <w:szCs w:val="24"/>
              </w:rPr>
            </w:pPr>
            <w:r>
              <w:rPr>
                <w:rFonts w:hint="eastAsia" w:ascii="宋体" w:hAnsi="宋体" w:eastAsia="宋体" w:cs="宋体"/>
                <w:sz w:val="24"/>
                <w:szCs w:val="24"/>
                <w:vertAlign w:val="baseline"/>
                <w:lang w:val="en-US" w:eastAsia="zh-CN"/>
              </w:rPr>
              <w:t>软件平台上线、项目</w:t>
            </w:r>
            <w:r>
              <w:rPr>
                <w:rFonts w:hint="eastAsia" w:ascii="宋体" w:hAnsi="Times New Roman" w:eastAsia="宋体" w:cs="宋体"/>
                <w:sz w:val="24"/>
                <w:szCs w:val="24"/>
              </w:rPr>
              <w:t>综合联调。</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120" w:after="120"/>
              <w:jc w:val="left"/>
              <w:rPr>
                <w:rFonts w:hint="eastAsia" w:ascii="宋体" w:hAnsi="Times New Roman" w:eastAsia="宋体" w:cs="宋体"/>
                <w:sz w:val="24"/>
                <w:szCs w:val="24"/>
                <w:lang w:val="en-US" w:eastAsia="zh-CN"/>
              </w:rPr>
            </w:pPr>
            <w:r>
              <w:rPr>
                <w:rFonts w:hint="eastAsia" w:ascii="宋体" w:hAnsi="Times New Roman" w:eastAsia="宋体" w:cs="宋体"/>
                <w:sz w:val="24"/>
                <w:szCs w:val="24"/>
                <w:lang w:val="en-US" w:eastAsia="zh-CN"/>
              </w:rPr>
              <w:t>完善通信网络与软件平台，达到预期结果。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3238"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2022年7月</w:t>
            </w:r>
          </w:p>
        </w:tc>
        <w:tc>
          <w:tcPr>
            <w:tcW w:w="5284" w:type="dxa"/>
          </w:tcPr>
          <w:p>
            <w:pPr>
              <w:keepNext w:val="0"/>
              <w:keepLines w:val="0"/>
              <w:pageBreakBefore w:val="0"/>
              <w:widowControl w:val="0"/>
              <w:numPr>
                <w:ilvl w:val="0"/>
                <w:numId w:val="10"/>
              </w:numPr>
              <w:kinsoku/>
              <w:wordWrap/>
              <w:overflowPunct/>
              <w:topLinePunct w:val="0"/>
              <w:autoSpaceDE/>
              <w:autoSpaceDN/>
              <w:bidi w:val="0"/>
              <w:adjustRightInd/>
              <w:snapToGrid/>
              <w:spacing w:before="120" w:after="12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项目验收。</w:t>
            </w:r>
          </w:p>
          <w:p>
            <w:pPr>
              <w:keepNext w:val="0"/>
              <w:keepLines w:val="0"/>
              <w:pageBreakBefore w:val="0"/>
              <w:widowControl w:val="0"/>
              <w:numPr>
                <w:ilvl w:val="0"/>
                <w:numId w:val="10"/>
              </w:numPr>
              <w:kinsoku/>
              <w:wordWrap/>
              <w:overflowPunct/>
              <w:topLinePunct w:val="0"/>
              <w:autoSpaceDE/>
              <w:autoSpaceDN/>
              <w:bidi w:val="0"/>
              <w:adjustRightInd/>
              <w:snapToGrid/>
              <w:spacing w:before="120" w:after="12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专利申报。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3238" w:type="dxa"/>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2022年8月</w:t>
            </w:r>
          </w:p>
        </w:tc>
        <w:tc>
          <w:tcPr>
            <w:tcW w:w="5284" w:type="dxa"/>
          </w:tcPr>
          <w:p>
            <w:pPr>
              <w:keepNext w:val="0"/>
              <w:keepLines w:val="0"/>
              <w:pageBreakBefore w:val="0"/>
              <w:widowControl w:val="0"/>
              <w:numPr>
                <w:ilvl w:val="0"/>
                <w:numId w:val="11"/>
              </w:numPr>
              <w:kinsoku/>
              <w:wordWrap/>
              <w:overflowPunct/>
              <w:topLinePunct w:val="0"/>
              <w:autoSpaceDE/>
              <w:autoSpaceDN/>
              <w:bidi w:val="0"/>
              <w:adjustRightInd/>
              <w:snapToGrid/>
              <w:spacing w:before="120" w:after="12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资料整理。</w:t>
            </w:r>
          </w:p>
          <w:p>
            <w:pPr>
              <w:keepNext w:val="0"/>
              <w:keepLines w:val="0"/>
              <w:pageBreakBefore w:val="0"/>
              <w:widowControl w:val="0"/>
              <w:numPr>
                <w:ilvl w:val="0"/>
                <w:numId w:val="11"/>
              </w:numPr>
              <w:kinsoku/>
              <w:wordWrap/>
              <w:overflowPunct/>
              <w:topLinePunct w:val="0"/>
              <w:autoSpaceDE/>
              <w:autoSpaceDN/>
              <w:bidi w:val="0"/>
              <w:adjustRightInd/>
              <w:snapToGrid/>
              <w:spacing w:before="120" w:after="12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项目结题。</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120"/>
        <w:jc w:val="both"/>
        <w:rPr>
          <w:rFonts w:hint="eastAsia" w:ascii="宋体" w:hAnsi="宋体" w:eastAsia="宋体" w:cs="宋体"/>
          <w:sz w:val="24"/>
          <w:szCs w:val="24"/>
          <w:lang w:val="en-US" w:eastAsia="zh-CN"/>
        </w:rPr>
      </w:pPr>
    </w:p>
    <w:p>
      <w:pPr>
        <w:pStyle w:val="3"/>
        <w:numPr>
          <w:ilvl w:val="0"/>
          <w:numId w:val="3"/>
        </w:numPr>
        <w:bidi w:val="0"/>
        <w:rPr>
          <w:rFonts w:hint="eastAsia" w:ascii="宋体" w:hAnsi="宋体" w:eastAsia="宋体" w:cs="宋体"/>
          <w:b/>
          <w:sz w:val="28"/>
          <w:szCs w:val="22"/>
          <w:lang w:val="en-US" w:eastAsia="zh-CN"/>
        </w:rPr>
      </w:pPr>
      <w:bookmarkStart w:id="11" w:name="_Toc2342"/>
      <w:r>
        <w:rPr>
          <w:rFonts w:hint="eastAsia" w:ascii="宋体" w:hAnsi="宋体" w:eastAsia="宋体" w:cs="宋体"/>
          <w:b/>
          <w:sz w:val="28"/>
          <w:szCs w:val="22"/>
          <w:lang w:val="en-US" w:eastAsia="zh-CN"/>
        </w:rPr>
        <w:t>经费预算合理性评估</w:t>
      </w:r>
      <w:bookmarkEnd w:id="11"/>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（１）设备费，预算金额90万元 </w:t>
      </w:r>
    </w:p>
    <w:tbl>
      <w:tblPr>
        <w:tblStyle w:val="8"/>
        <w:tblW w:w="8322" w:type="dxa"/>
        <w:tblInd w:w="0" w:type="dxa"/>
        <w:shd w:val="clear" w:color="auto" w:fill="auto"/>
        <w:tblLayout w:type="fixed"/>
        <w:tblCellMar>
          <w:top w:w="0" w:type="dxa"/>
          <w:left w:w="0" w:type="dxa"/>
          <w:bottom w:w="0" w:type="dxa"/>
          <w:right w:w="0" w:type="dxa"/>
        </w:tblCellMar>
      </w:tblPr>
      <w:tblGrid>
        <w:gridCol w:w="3535"/>
        <w:gridCol w:w="2865"/>
        <w:gridCol w:w="1922"/>
      </w:tblGrid>
      <w:tr>
        <w:tblPrEx>
          <w:shd w:val="clear" w:color="auto" w:fill="auto"/>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设备名称</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数量</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预算费用</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微波通信回传站</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2套</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250000</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点对点通讯设备</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4套</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120000</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扇区覆盖小基站系统</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12套</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240000</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毫米波雷达及数据交互平台</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12套</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54000</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无人机无人船通信模块</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2套</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20000</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高清摄像或照相机</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10台</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10000</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控制中心遥控显示系统</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1套</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100000</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高速交换机（路由器）</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2台</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3000</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高配电脑</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5台</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40000</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云服务器租用</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1台</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15000</w:t>
            </w:r>
          </w:p>
        </w:tc>
      </w:tr>
      <w:tr>
        <w:tblPrEx>
          <w:tblCellMar>
            <w:top w:w="0" w:type="dxa"/>
            <w:left w:w="0" w:type="dxa"/>
            <w:bottom w:w="0" w:type="dxa"/>
            <w:right w:w="0" w:type="dxa"/>
          </w:tblCellMar>
        </w:tblPrEx>
        <w:trPr>
          <w:trHeight w:val="544" w:hRule="atLeast"/>
        </w:trPr>
        <w:tc>
          <w:tcPr>
            <w:tcW w:w="35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组网易耗品</w:t>
            </w:r>
          </w:p>
        </w:tc>
        <w:tc>
          <w:tcPr>
            <w:tcW w:w="286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1批</w:t>
            </w:r>
          </w:p>
        </w:tc>
        <w:tc>
          <w:tcPr>
            <w:tcW w:w="192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48000</w:t>
            </w:r>
          </w:p>
        </w:tc>
      </w:tr>
    </w:tbl>
    <w:p>
      <w:pPr>
        <w:bidi w:val="0"/>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（2）项目人工费，预算金额72万元</w:t>
      </w:r>
    </w:p>
    <w:tbl>
      <w:tblPr>
        <w:tblStyle w:val="8"/>
        <w:tblW w:w="8305" w:type="dxa"/>
        <w:tblInd w:w="0" w:type="dxa"/>
        <w:shd w:val="clear" w:color="auto" w:fill="auto"/>
        <w:tblLayout w:type="fixed"/>
        <w:tblCellMar>
          <w:top w:w="0" w:type="dxa"/>
          <w:left w:w="0" w:type="dxa"/>
          <w:bottom w:w="0" w:type="dxa"/>
          <w:right w:w="0" w:type="dxa"/>
        </w:tblCellMar>
      </w:tblPr>
      <w:tblGrid>
        <w:gridCol w:w="3528"/>
        <w:gridCol w:w="2872"/>
        <w:gridCol w:w="1905"/>
      </w:tblGrid>
      <w:tr>
        <w:tblPrEx>
          <w:shd w:val="clear" w:color="auto" w:fill="auto"/>
          <w:tblCellMar>
            <w:top w:w="0" w:type="dxa"/>
            <w:left w:w="0" w:type="dxa"/>
            <w:bottom w:w="0" w:type="dxa"/>
            <w:right w:w="0" w:type="dxa"/>
          </w:tblCellMar>
        </w:tblPrEx>
        <w:trPr>
          <w:trHeight w:val="544" w:hRule="atLeast"/>
        </w:trPr>
        <w:tc>
          <w:tcPr>
            <w:tcW w:w="3528"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人员</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计算标准</w:t>
            </w:r>
          </w:p>
        </w:tc>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预算费用</w:t>
            </w:r>
          </w:p>
        </w:tc>
      </w:tr>
      <w:tr>
        <w:tblPrEx>
          <w:tblCellMar>
            <w:top w:w="0" w:type="dxa"/>
            <w:left w:w="0" w:type="dxa"/>
            <w:bottom w:w="0" w:type="dxa"/>
            <w:right w:w="0" w:type="dxa"/>
          </w:tblCellMar>
        </w:tblPrEx>
        <w:trPr>
          <w:trHeight w:val="544" w:hRule="atLeast"/>
        </w:trPr>
        <w:tc>
          <w:tcPr>
            <w:tcW w:w="3528"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项目技术负责人</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1人*25000元*18月</w:t>
            </w:r>
          </w:p>
        </w:tc>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450000</w:t>
            </w:r>
          </w:p>
        </w:tc>
      </w:tr>
      <w:tr>
        <w:tblPrEx>
          <w:tblCellMar>
            <w:top w:w="0" w:type="dxa"/>
            <w:left w:w="0" w:type="dxa"/>
            <w:bottom w:w="0" w:type="dxa"/>
            <w:right w:w="0" w:type="dxa"/>
          </w:tblCellMar>
        </w:tblPrEx>
        <w:trPr>
          <w:trHeight w:val="544" w:hRule="atLeast"/>
        </w:trPr>
        <w:tc>
          <w:tcPr>
            <w:tcW w:w="3528"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项目团队成员</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3人*5000元*18月</w:t>
            </w:r>
          </w:p>
        </w:tc>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270000</w:t>
            </w:r>
          </w:p>
        </w:tc>
      </w:tr>
    </w:tbl>
    <w:p>
      <w:pPr>
        <w:bidi w:val="0"/>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（3）软件开发及相关工具费，预算金额18万元</w:t>
      </w:r>
    </w:p>
    <w:tbl>
      <w:tblPr>
        <w:tblStyle w:val="8"/>
        <w:tblW w:w="8320" w:type="dxa"/>
        <w:tblInd w:w="0" w:type="dxa"/>
        <w:shd w:val="clear" w:color="auto" w:fill="auto"/>
        <w:tblLayout w:type="fixed"/>
        <w:tblCellMar>
          <w:top w:w="0" w:type="dxa"/>
          <w:left w:w="0" w:type="dxa"/>
          <w:bottom w:w="0" w:type="dxa"/>
          <w:right w:w="0" w:type="dxa"/>
        </w:tblCellMar>
      </w:tblPr>
      <w:tblGrid>
        <w:gridCol w:w="6385"/>
        <w:gridCol w:w="1935"/>
      </w:tblGrid>
      <w:tr>
        <w:tblPrEx>
          <w:tblCellMar>
            <w:top w:w="0" w:type="dxa"/>
            <w:left w:w="0" w:type="dxa"/>
            <w:bottom w:w="0" w:type="dxa"/>
            <w:right w:w="0" w:type="dxa"/>
          </w:tblCellMar>
        </w:tblPrEx>
        <w:trPr>
          <w:trHeight w:val="544" w:hRule="atLeast"/>
        </w:trPr>
        <w:tc>
          <w:tcPr>
            <w:tcW w:w="638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费用项</w:t>
            </w:r>
          </w:p>
        </w:tc>
        <w:tc>
          <w:tcPr>
            <w:tcW w:w="19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预算费用</w:t>
            </w:r>
          </w:p>
        </w:tc>
      </w:tr>
      <w:tr>
        <w:tblPrEx>
          <w:tblCellMar>
            <w:top w:w="0" w:type="dxa"/>
            <w:left w:w="0" w:type="dxa"/>
            <w:bottom w:w="0" w:type="dxa"/>
            <w:right w:w="0" w:type="dxa"/>
          </w:tblCellMar>
        </w:tblPrEx>
        <w:trPr>
          <w:trHeight w:val="544" w:hRule="atLeast"/>
        </w:trPr>
        <w:tc>
          <w:tcPr>
            <w:tcW w:w="638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软件平台开发</w:t>
            </w:r>
          </w:p>
        </w:tc>
        <w:tc>
          <w:tcPr>
            <w:tcW w:w="19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100000</w:t>
            </w:r>
          </w:p>
        </w:tc>
      </w:tr>
      <w:tr>
        <w:tblPrEx>
          <w:tblCellMar>
            <w:top w:w="0" w:type="dxa"/>
            <w:left w:w="0" w:type="dxa"/>
            <w:bottom w:w="0" w:type="dxa"/>
            <w:right w:w="0" w:type="dxa"/>
          </w:tblCellMar>
        </w:tblPrEx>
        <w:trPr>
          <w:trHeight w:val="544" w:hRule="atLeast"/>
        </w:trPr>
        <w:tc>
          <w:tcPr>
            <w:tcW w:w="638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系统相关工具</w:t>
            </w:r>
          </w:p>
        </w:tc>
        <w:tc>
          <w:tcPr>
            <w:tcW w:w="193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80000</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（4）委外施工费，预算金额10万</w:t>
      </w:r>
    </w:p>
    <w:tbl>
      <w:tblPr>
        <w:tblStyle w:val="8"/>
        <w:tblW w:w="8313" w:type="dxa"/>
        <w:tblInd w:w="0" w:type="dxa"/>
        <w:shd w:val="clear" w:color="auto" w:fill="auto"/>
        <w:tblLayout w:type="fixed"/>
        <w:tblCellMar>
          <w:top w:w="0" w:type="dxa"/>
          <w:left w:w="0" w:type="dxa"/>
          <w:bottom w:w="0" w:type="dxa"/>
          <w:right w:w="0" w:type="dxa"/>
        </w:tblCellMar>
      </w:tblPr>
      <w:tblGrid>
        <w:gridCol w:w="6408"/>
        <w:gridCol w:w="1905"/>
      </w:tblGrid>
      <w:tr>
        <w:tblPrEx>
          <w:shd w:val="clear" w:color="auto" w:fill="auto"/>
          <w:tblCellMar>
            <w:top w:w="0" w:type="dxa"/>
            <w:left w:w="0" w:type="dxa"/>
            <w:bottom w:w="0" w:type="dxa"/>
            <w:right w:w="0" w:type="dxa"/>
          </w:tblCellMar>
        </w:tblPrEx>
        <w:trPr>
          <w:trHeight w:val="544" w:hRule="atLeast"/>
        </w:trPr>
        <w:tc>
          <w:tcPr>
            <w:tcW w:w="6408" w:type="dxa"/>
            <w:tcBorders>
              <w:top w:val="single" w:color="000000" w:sz="4" w:space="0"/>
              <w:left w:val="single" w:color="000000" w:sz="4" w:space="0"/>
              <w:bottom w:val="single" w:color="000000" w:sz="4" w:space="0"/>
              <w:right w:val="single" w:color="000000" w:sz="4" w:space="0"/>
            </w:tcBorders>
            <w:shd w:val="clear" w:color="auto" w:fill="auto"/>
            <w:tcMar>
              <w:top w:w="8" w:type="dxa"/>
              <w:left w:w="8" w:type="dxa"/>
              <w:right w:w="8" w:type="dxa"/>
            </w:tcMar>
            <w:vAlign w:val="center"/>
          </w:tcPr>
          <w:p>
            <w:pPr>
              <w:bidi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费用项</w:t>
            </w:r>
          </w:p>
        </w:tc>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预算费用</w:t>
            </w:r>
          </w:p>
        </w:tc>
      </w:tr>
      <w:tr>
        <w:tblPrEx>
          <w:tblCellMar>
            <w:top w:w="0" w:type="dxa"/>
            <w:left w:w="0" w:type="dxa"/>
            <w:bottom w:w="0" w:type="dxa"/>
            <w:right w:w="0" w:type="dxa"/>
          </w:tblCellMar>
        </w:tblPrEx>
        <w:trPr>
          <w:trHeight w:val="544" w:hRule="atLeast"/>
        </w:trPr>
        <w:tc>
          <w:tcPr>
            <w:tcW w:w="6408"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委外施工费</w:t>
            </w:r>
          </w:p>
        </w:tc>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50000</w:t>
            </w:r>
          </w:p>
        </w:tc>
      </w:tr>
      <w:tr>
        <w:tblPrEx>
          <w:tblCellMar>
            <w:top w:w="0" w:type="dxa"/>
            <w:left w:w="0" w:type="dxa"/>
            <w:bottom w:w="0" w:type="dxa"/>
            <w:right w:w="0" w:type="dxa"/>
          </w:tblCellMar>
        </w:tblPrEx>
        <w:trPr>
          <w:trHeight w:val="544" w:hRule="atLeast"/>
        </w:trPr>
        <w:tc>
          <w:tcPr>
            <w:tcW w:w="6408"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装备租赁费</w:t>
            </w:r>
          </w:p>
        </w:tc>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40000</w:t>
            </w:r>
          </w:p>
        </w:tc>
      </w:tr>
      <w:tr>
        <w:tblPrEx>
          <w:tblCellMar>
            <w:top w:w="0" w:type="dxa"/>
            <w:left w:w="0" w:type="dxa"/>
            <w:bottom w:w="0" w:type="dxa"/>
            <w:right w:w="0" w:type="dxa"/>
          </w:tblCellMar>
        </w:tblPrEx>
        <w:trPr>
          <w:trHeight w:val="544" w:hRule="atLeast"/>
        </w:trPr>
        <w:tc>
          <w:tcPr>
            <w:tcW w:w="6408"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杂项费用</w:t>
            </w:r>
          </w:p>
        </w:tc>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10000</w:t>
            </w:r>
          </w:p>
        </w:tc>
      </w:tr>
    </w:tbl>
    <w:p>
      <w:pPr>
        <w:bidi w:val="0"/>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（4）项目期间费用，预算金额10万</w:t>
      </w:r>
    </w:p>
    <w:tbl>
      <w:tblPr>
        <w:tblStyle w:val="8"/>
        <w:tblW w:w="8320" w:type="dxa"/>
        <w:tblInd w:w="0" w:type="dxa"/>
        <w:shd w:val="clear" w:color="auto" w:fill="auto"/>
        <w:tblLayout w:type="fixed"/>
        <w:tblCellMar>
          <w:top w:w="0" w:type="dxa"/>
          <w:left w:w="0" w:type="dxa"/>
          <w:bottom w:w="0" w:type="dxa"/>
          <w:right w:w="0" w:type="dxa"/>
        </w:tblCellMar>
      </w:tblPr>
      <w:tblGrid>
        <w:gridCol w:w="6423"/>
        <w:gridCol w:w="1897"/>
      </w:tblGrid>
      <w:tr>
        <w:tblPrEx>
          <w:shd w:val="clear" w:color="auto" w:fill="auto"/>
        </w:tblPrEx>
        <w:trPr>
          <w:trHeight w:val="544" w:hRule="atLeast"/>
        </w:trPr>
        <w:tc>
          <w:tcPr>
            <w:tcW w:w="6423"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费用项</w:t>
            </w:r>
          </w:p>
        </w:tc>
        <w:tc>
          <w:tcPr>
            <w:tcW w:w="1897"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预算费用</w:t>
            </w:r>
          </w:p>
        </w:tc>
      </w:tr>
      <w:tr>
        <w:tblPrEx>
          <w:tblCellMar>
            <w:top w:w="0" w:type="dxa"/>
            <w:left w:w="0" w:type="dxa"/>
            <w:bottom w:w="0" w:type="dxa"/>
            <w:right w:w="0" w:type="dxa"/>
          </w:tblCellMar>
        </w:tblPrEx>
        <w:trPr>
          <w:trHeight w:val="544" w:hRule="atLeast"/>
        </w:trPr>
        <w:tc>
          <w:tcPr>
            <w:tcW w:w="6423"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rPr>
            </w:pPr>
            <w:r>
              <w:rPr>
                <w:rFonts w:hint="eastAsia" w:ascii="宋体" w:hAnsi="宋体" w:eastAsia="宋体" w:cs="宋体"/>
                <w:sz w:val="24"/>
                <w:szCs w:val="24"/>
                <w:lang w:val="en-US" w:eastAsia="zh-CN"/>
              </w:rPr>
              <w:t>会议及知识产权、资料购买</w:t>
            </w:r>
          </w:p>
        </w:tc>
        <w:tc>
          <w:tcPr>
            <w:tcW w:w="1897"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30000</w:t>
            </w:r>
          </w:p>
        </w:tc>
      </w:tr>
      <w:tr>
        <w:tblPrEx>
          <w:tblCellMar>
            <w:top w:w="0" w:type="dxa"/>
            <w:left w:w="0" w:type="dxa"/>
            <w:bottom w:w="0" w:type="dxa"/>
            <w:right w:w="0" w:type="dxa"/>
          </w:tblCellMar>
        </w:tblPrEx>
        <w:trPr>
          <w:trHeight w:val="544" w:hRule="atLeast"/>
        </w:trPr>
        <w:tc>
          <w:tcPr>
            <w:tcW w:w="6423"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rPr>
            </w:pPr>
            <w:r>
              <w:rPr>
                <w:rFonts w:hint="eastAsia" w:ascii="宋体" w:hAnsi="宋体" w:eastAsia="宋体" w:cs="宋体"/>
                <w:sz w:val="24"/>
                <w:szCs w:val="24"/>
                <w:lang w:val="en-US" w:eastAsia="zh-CN"/>
              </w:rPr>
              <w:t>项目人员交通差旅住宿</w:t>
            </w:r>
          </w:p>
        </w:tc>
        <w:tc>
          <w:tcPr>
            <w:tcW w:w="1897"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rPr>
            </w:pPr>
            <w:r>
              <w:rPr>
                <w:rFonts w:hint="eastAsia" w:ascii="宋体" w:hAnsi="宋体" w:eastAsia="宋体" w:cs="宋体"/>
                <w:sz w:val="24"/>
                <w:szCs w:val="24"/>
                <w:lang w:val="en-US" w:eastAsia="zh-CN"/>
              </w:rPr>
              <w:t>50000</w:t>
            </w:r>
          </w:p>
        </w:tc>
      </w:tr>
      <w:tr>
        <w:tblPrEx>
          <w:tblCellMar>
            <w:top w:w="0" w:type="dxa"/>
            <w:left w:w="0" w:type="dxa"/>
            <w:bottom w:w="0" w:type="dxa"/>
            <w:right w:w="0" w:type="dxa"/>
          </w:tblCellMar>
        </w:tblPrEx>
        <w:trPr>
          <w:trHeight w:val="544" w:hRule="atLeast"/>
        </w:trPr>
        <w:tc>
          <w:tcPr>
            <w:tcW w:w="6423"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其他杂费</w:t>
            </w:r>
          </w:p>
        </w:tc>
        <w:tc>
          <w:tcPr>
            <w:tcW w:w="1897" w:type="dxa"/>
            <w:tcBorders>
              <w:top w:val="single" w:color="000000" w:sz="4" w:space="0"/>
              <w:left w:val="single" w:color="000000" w:sz="4" w:space="0"/>
              <w:bottom w:val="single" w:color="000000" w:sz="4" w:space="0"/>
              <w:right w:val="single" w:color="000000" w:sz="4" w:space="0"/>
            </w:tcBorders>
            <w:shd w:val="clear" w:color="auto" w:fill="auto"/>
            <w:noWrap/>
            <w:tcMar>
              <w:top w:w="8" w:type="dxa"/>
              <w:left w:w="8" w:type="dxa"/>
              <w:right w:w="8" w:type="dxa"/>
            </w:tcMar>
            <w:vAlign w:val="center"/>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20000</w:t>
            </w:r>
          </w:p>
        </w:tc>
      </w:tr>
    </w:tbl>
    <w:p>
      <w:pPr>
        <w:bidi w:val="0"/>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 xml:space="preserve">项目预算总费用：人民币200 万元 </w:t>
      </w:r>
      <w:bookmarkStart w:id="27" w:name="_GoBack"/>
      <w:bookmarkEnd w:id="27"/>
    </w:p>
    <w:p>
      <w:pPr>
        <w:pStyle w:val="3"/>
        <w:numPr>
          <w:ilvl w:val="0"/>
          <w:numId w:val="3"/>
        </w:numPr>
        <w:bidi w:val="0"/>
        <w:rPr>
          <w:rFonts w:hint="eastAsia" w:ascii="宋体" w:hAnsi="宋体" w:eastAsia="宋体" w:cs="宋体"/>
          <w:b/>
          <w:sz w:val="28"/>
          <w:szCs w:val="22"/>
          <w:lang w:val="en-US" w:eastAsia="zh-CN"/>
        </w:rPr>
      </w:pPr>
      <w:bookmarkStart w:id="12" w:name="_Toc10223"/>
      <w:r>
        <w:rPr>
          <w:rFonts w:hint="eastAsia" w:ascii="宋体" w:hAnsi="宋体" w:eastAsia="宋体" w:cs="宋体"/>
          <w:b/>
          <w:sz w:val="28"/>
          <w:szCs w:val="22"/>
          <w:lang w:val="en-US" w:eastAsia="zh-CN"/>
        </w:rPr>
        <w:t>项目实施绩效</w:t>
      </w:r>
      <w:bookmarkEnd w:id="12"/>
    </w:p>
    <w:p>
      <w:pPr>
        <w:keepNext w:val="0"/>
        <w:keepLines w:val="0"/>
        <w:pageBreakBefore w:val="0"/>
        <w:widowControl/>
        <w:kinsoku/>
        <w:wordWrap/>
        <w:overflowPunct/>
        <w:topLinePunct w:val="0"/>
        <w:autoSpaceDE/>
        <w:autoSpaceDN/>
        <w:bidi w:val="0"/>
        <w:adjustRightInd/>
        <w:snapToGrid/>
        <w:spacing w:before="120" w:after="120"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rPr>
        <w:t>本项目实施后，将研发出新装备“5G天地一体化海上风电通信系统装备”1 套；申请专利 2 件，其中发明专利 1 件、实用新型专利 1 件；引进人才 1 人。</w:t>
      </w:r>
    </w:p>
    <w:p>
      <w:pPr>
        <w:keepNext w:val="0"/>
        <w:keepLines w:val="0"/>
        <w:pageBreakBefore w:val="0"/>
        <w:widowControl/>
        <w:kinsoku/>
        <w:wordWrap/>
        <w:overflowPunct/>
        <w:topLinePunct w:val="0"/>
        <w:autoSpaceDE/>
        <w:autoSpaceDN/>
        <w:bidi w:val="0"/>
        <w:adjustRightInd/>
        <w:snapToGrid/>
        <w:spacing w:before="120" w:after="120" w:line="360" w:lineRule="auto"/>
        <w:ind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本项目的成功实施，将首次研发出5G天地一体化通信网络在海上风电领域应用的可行性，奠定了未来海上风电场智慧管理的基础，实现从有人值守巡航到无人值守巡航的监控与运维。</w:t>
      </w:r>
    </w:p>
    <w:p>
      <w:pPr>
        <w:keepNext w:val="0"/>
        <w:keepLines w:val="0"/>
        <w:pageBreakBefore w:val="0"/>
        <w:widowControl/>
        <w:kinsoku/>
        <w:wordWrap/>
        <w:overflowPunct/>
        <w:topLinePunct w:val="0"/>
        <w:autoSpaceDE/>
        <w:autoSpaceDN/>
        <w:bidi w:val="0"/>
        <w:adjustRightInd/>
        <w:snapToGrid/>
        <w:spacing w:before="120" w:after="120" w:line="360" w:lineRule="auto"/>
        <w:ind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本项目的成功实施，将加大推动阳江市的区域竞争力，在海上风电运维管理领域处于先进地位，庞大的应用市场将为海上风电实验室带来产生可观的经济效益，同时将有效拉动区域风电产业链的发展，促进招财引智和本地就业。</w:t>
      </w:r>
    </w:p>
    <w:p>
      <w:pPr>
        <w:keepNext w:val="0"/>
        <w:keepLines w:val="0"/>
        <w:pageBreakBefore w:val="0"/>
        <w:widowControl/>
        <w:kinsoku/>
        <w:wordWrap/>
        <w:overflowPunct/>
        <w:topLinePunct w:val="0"/>
        <w:autoSpaceDE/>
        <w:autoSpaceDN/>
        <w:bidi w:val="0"/>
        <w:adjustRightInd/>
        <w:snapToGrid/>
        <w:spacing w:before="120" w:after="120"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rPr>
        <w:t>本项目的成功实施，将大大降低海上风电企业的运维成本，提高经营效益，有力促进国家清洁能源的快速发展。目前我国海上风电开发已经进入了规模化、商业化发展阶段。我国海上风能资源丰富，根据全国普查成果，我国5—25米水深、50米高度海上风电开发潜力约2亿千瓦;5—50米水深、70米高度海上风电开发潜力约5亿千瓦。根据各省海上风电规划，全国海上风电规划总量超过8000万千瓦，重点布局分布在江苏、浙江、福建、广东等省市，行业前景广阔。</w:t>
      </w:r>
    </w:p>
    <w:p>
      <w:pPr>
        <w:pStyle w:val="2"/>
        <w:numPr>
          <w:ilvl w:val="0"/>
          <w:numId w:val="2"/>
        </w:numPr>
        <w:bidi w:val="0"/>
        <w:rPr>
          <w:rFonts w:hint="eastAsia"/>
          <w:b/>
          <w:sz w:val="32"/>
          <w:szCs w:val="20"/>
          <w:lang w:val="en-US" w:eastAsia="zh-CN"/>
        </w:rPr>
      </w:pPr>
      <w:bookmarkStart w:id="13" w:name="_Toc29125"/>
      <w:r>
        <w:rPr>
          <w:rFonts w:hint="eastAsia"/>
          <w:b/>
          <w:sz w:val="32"/>
          <w:szCs w:val="20"/>
          <w:lang w:val="en-US" w:eastAsia="zh-CN"/>
        </w:rPr>
        <w:t>项目风险评估</w:t>
      </w:r>
      <w:bookmarkEnd w:id="13"/>
    </w:p>
    <w:p>
      <w:pPr>
        <w:pStyle w:val="3"/>
        <w:numPr>
          <w:ilvl w:val="0"/>
          <w:numId w:val="0"/>
        </w:numPr>
        <w:bidi w:val="0"/>
        <w:rPr>
          <w:rFonts w:hint="default" w:ascii="宋体" w:hAnsi="宋体" w:eastAsia="宋体" w:cs="宋体"/>
          <w:b/>
          <w:sz w:val="28"/>
          <w:szCs w:val="22"/>
          <w:lang w:val="en-US" w:eastAsia="zh-CN"/>
        </w:rPr>
      </w:pPr>
      <w:bookmarkStart w:id="14" w:name="_Toc31012"/>
      <w:r>
        <w:rPr>
          <w:rFonts w:hint="eastAsia" w:ascii="宋体" w:hAnsi="宋体" w:eastAsia="宋体" w:cs="宋体"/>
          <w:b/>
          <w:sz w:val="28"/>
          <w:szCs w:val="22"/>
          <w:lang w:val="en-US" w:eastAsia="zh-CN"/>
        </w:rPr>
        <w:t>（一）风险分析及应对</w:t>
      </w:r>
      <w:bookmarkEnd w:id="14"/>
    </w:p>
    <w:p>
      <w:pPr>
        <w:pStyle w:val="4"/>
        <w:numPr>
          <w:ilvl w:val="0"/>
          <w:numId w:val="0"/>
        </w:numPr>
        <w:bidi w:val="0"/>
        <w:ind w:leftChars="0"/>
        <w:rPr>
          <w:rFonts w:hint="eastAsia"/>
          <w:b/>
          <w:sz w:val="24"/>
          <w:szCs w:val="21"/>
          <w:lang w:val="en-US" w:eastAsia="zh-CN"/>
        </w:rPr>
      </w:pPr>
      <w:bookmarkStart w:id="15" w:name="_Toc28176"/>
      <w:r>
        <w:rPr>
          <w:rFonts w:hint="eastAsia"/>
          <w:b/>
          <w:sz w:val="24"/>
          <w:szCs w:val="21"/>
          <w:lang w:val="en-US" w:eastAsia="zh-CN"/>
        </w:rPr>
        <w:t>1.1 技术风险</w:t>
      </w:r>
      <w:bookmarkEnd w:id="15"/>
      <w:r>
        <w:rPr>
          <w:rFonts w:hint="eastAsia"/>
          <w:b/>
          <w:sz w:val="24"/>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（1）目前国内外基于5G网络的技术应用尚在探索阶段，技术和设备均有待进一步成熟完善。应对措施：广泛查阅文献，征集专家建议。获取有价值信息，为本项目开发提供技术与设备保障。</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2）由于缺乏对海上复杂多变环境的深刻了解、深入研究及实施经验，不可预计和不可抗力因素客观存在，设计的可靠性可能存在一定缺陷。应对措施：加强现场考察、勘测，积极与海上风电场运维团队沟通交流，吸取经验，搜集大量海上春夏秋冬的自然环境数据。</w:t>
      </w:r>
    </w:p>
    <w:p>
      <w:pPr>
        <w:pStyle w:val="4"/>
        <w:numPr>
          <w:ilvl w:val="0"/>
          <w:numId w:val="0"/>
        </w:numPr>
        <w:bidi w:val="0"/>
        <w:ind w:leftChars="0"/>
        <w:rPr>
          <w:rFonts w:hint="eastAsia"/>
          <w:b/>
          <w:sz w:val="24"/>
          <w:szCs w:val="21"/>
          <w:lang w:val="en-US" w:eastAsia="zh-CN"/>
        </w:rPr>
      </w:pPr>
      <w:bookmarkStart w:id="16" w:name="_Toc293"/>
      <w:r>
        <w:rPr>
          <w:rFonts w:hint="eastAsia"/>
          <w:b/>
          <w:sz w:val="24"/>
          <w:szCs w:val="21"/>
          <w:lang w:val="en-US" w:eastAsia="zh-CN"/>
        </w:rPr>
        <w:t>1.2 实施风险</w:t>
      </w:r>
      <w:bookmarkEnd w:id="16"/>
      <w:r>
        <w:rPr>
          <w:rFonts w:hint="eastAsia"/>
          <w:b/>
          <w:sz w:val="24"/>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1）由于海上风力、温度、湿度、咸度、海浪等特殊气候环境影响，可能会对装置设备的可靠性有影响。应对措施：高标准、严要求定制工装及安装，减少因施工问题对装置设备的外在影响，同时严格按照产品使用要求运维及保养，提高可靠性和生命周期。</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（2）由于海上作业的复杂度、艰难度和危险性，可能导致施工成本增加。应对措施：严格做好施工前各项准备工作，做好应急预案，加强安全隐患防范意识、落实应对方法。</w:t>
      </w:r>
    </w:p>
    <w:p>
      <w:pPr>
        <w:pStyle w:val="4"/>
        <w:numPr>
          <w:ilvl w:val="0"/>
          <w:numId w:val="0"/>
        </w:numPr>
        <w:bidi w:val="0"/>
        <w:ind w:leftChars="0"/>
        <w:rPr>
          <w:rFonts w:hint="eastAsia"/>
          <w:b/>
          <w:sz w:val="24"/>
          <w:szCs w:val="21"/>
          <w:lang w:val="en-US" w:eastAsia="zh-CN"/>
        </w:rPr>
      </w:pPr>
      <w:bookmarkStart w:id="17" w:name="_Toc31117"/>
      <w:r>
        <w:rPr>
          <w:rFonts w:hint="eastAsia"/>
          <w:b/>
          <w:sz w:val="24"/>
          <w:szCs w:val="21"/>
          <w:lang w:val="en-US" w:eastAsia="zh-CN"/>
        </w:rPr>
        <w:t>1.3 其他风险</w:t>
      </w:r>
      <w:bookmarkEnd w:id="17"/>
      <w:r>
        <w:rPr>
          <w:rFonts w:hint="eastAsia"/>
          <w:b/>
          <w:sz w:val="24"/>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（1）由于疫情和中美贸易战等因素，导致部分材料价格波动大，使得经费预算有差异。应对措施：密切关注市场动态，掌握时机，如果经费不足，我实验室将补足资金保障项目顺利进行。</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由于疫情使得部分项目成员的外出受限，可能导致项目进度受影响。应对措施：掌握国家关于疫情防控的政策与措施，加强疫情防控意识和防控力度，建立高效网络沟通协作机制，合理统筹安排项目计划，尽量规避疫情影响。</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（3）由于项目研发需要的部分仪器仪表尚未到位，导致项目进度有一定影响。应对措施：考虑借用或租用方式临时替代，保障项目顺利开展。</w:t>
      </w:r>
    </w:p>
    <w:p>
      <w:pPr>
        <w:pStyle w:val="3"/>
        <w:numPr>
          <w:ilvl w:val="0"/>
          <w:numId w:val="0"/>
        </w:numPr>
        <w:bidi w:val="0"/>
        <w:rPr>
          <w:rFonts w:hint="eastAsia" w:ascii="宋体" w:hAnsi="宋体" w:eastAsia="宋体" w:cs="宋体"/>
          <w:b/>
          <w:sz w:val="28"/>
          <w:szCs w:val="22"/>
          <w:lang w:val="en-US" w:eastAsia="zh-CN"/>
        </w:rPr>
      </w:pPr>
      <w:bookmarkStart w:id="18" w:name="_Toc9677"/>
      <w:r>
        <w:rPr>
          <w:rFonts w:hint="eastAsia" w:ascii="宋体" w:hAnsi="宋体" w:eastAsia="宋体" w:cs="宋体"/>
          <w:b/>
          <w:sz w:val="28"/>
          <w:szCs w:val="22"/>
          <w:lang w:val="en-US" w:eastAsia="zh-CN"/>
        </w:rPr>
        <w:t>（二）风险评估</w:t>
      </w:r>
      <w:bookmarkEnd w:id="18"/>
    </w:p>
    <w:p>
      <w:pPr>
        <w:pStyle w:val="4"/>
        <w:numPr>
          <w:ilvl w:val="0"/>
          <w:numId w:val="0"/>
        </w:numPr>
        <w:bidi w:val="0"/>
        <w:ind w:leftChars="0"/>
        <w:rPr>
          <w:rFonts w:hint="eastAsia"/>
          <w:b/>
          <w:sz w:val="24"/>
          <w:szCs w:val="21"/>
          <w:lang w:val="en-US" w:eastAsia="zh-CN"/>
        </w:rPr>
      </w:pPr>
      <w:bookmarkStart w:id="19" w:name="_Toc8533"/>
      <w:r>
        <w:rPr>
          <w:rFonts w:hint="eastAsia"/>
          <w:b/>
          <w:sz w:val="24"/>
          <w:szCs w:val="21"/>
          <w:lang w:val="en-US" w:eastAsia="zh-CN"/>
        </w:rPr>
        <w:t>2.1 风险评价</w:t>
      </w:r>
      <w:bookmarkEnd w:id="19"/>
      <w:r>
        <w:rPr>
          <w:rFonts w:hint="eastAsia"/>
          <w:b/>
          <w:sz w:val="24"/>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按照风险等级，分为高风险、中风险、低风险和极低风险；按风险可能性分级，分为高、中、低和极低；按风险影响力分级，分为大、中和小。 </w:t>
      </w:r>
    </w:p>
    <w:tbl>
      <w:tblPr>
        <w:tblStyle w:val="9"/>
        <w:tblW w:w="0" w:type="auto"/>
        <w:tblInd w:w="2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1697"/>
        <w:gridCol w:w="2131"/>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lang w:val="en-US" w:eastAsia="zh-CN" w:bidi="ar"/>
              </w:rPr>
              <w:t>项目风险</w:t>
            </w:r>
          </w:p>
        </w:tc>
        <w:tc>
          <w:tcPr>
            <w:tcW w:w="1697"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lang w:val="en-US" w:eastAsia="zh-CN" w:bidi="ar"/>
              </w:rPr>
              <w:t>可能性</w:t>
            </w:r>
          </w:p>
        </w:tc>
        <w:tc>
          <w:tcPr>
            <w:tcW w:w="2131"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lang w:val="en-US" w:eastAsia="zh-CN" w:bidi="ar"/>
              </w:rPr>
              <w:t>影响力</w:t>
            </w:r>
          </w:p>
        </w:tc>
        <w:tc>
          <w:tcPr>
            <w:tcW w:w="1999"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lang w:val="en-US" w:eastAsia="zh-CN" w:bidi="ar"/>
              </w:rPr>
              <w:t>评估等级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技术风险</w:t>
            </w:r>
          </w:p>
        </w:tc>
        <w:tc>
          <w:tcPr>
            <w:tcW w:w="1697"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极低</w:t>
            </w:r>
          </w:p>
        </w:tc>
        <w:tc>
          <w:tcPr>
            <w:tcW w:w="2131"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小</w:t>
            </w:r>
          </w:p>
        </w:tc>
        <w:tc>
          <w:tcPr>
            <w:tcW w:w="1999"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极低风险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实施风险</w:t>
            </w:r>
          </w:p>
        </w:tc>
        <w:tc>
          <w:tcPr>
            <w:tcW w:w="1697"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低</w:t>
            </w:r>
          </w:p>
        </w:tc>
        <w:tc>
          <w:tcPr>
            <w:tcW w:w="2131"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小</w:t>
            </w:r>
          </w:p>
        </w:tc>
        <w:tc>
          <w:tcPr>
            <w:tcW w:w="1999"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低风险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其他风险</w:t>
            </w:r>
          </w:p>
        </w:tc>
        <w:tc>
          <w:tcPr>
            <w:tcW w:w="1697"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低</w:t>
            </w:r>
          </w:p>
        </w:tc>
        <w:tc>
          <w:tcPr>
            <w:tcW w:w="2131"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小</w:t>
            </w:r>
          </w:p>
        </w:tc>
        <w:tc>
          <w:tcPr>
            <w:tcW w:w="1999" w:type="dxa"/>
          </w:tcPr>
          <w:p>
            <w:pPr>
              <w:keepNext w:val="0"/>
              <w:keepLines w:val="0"/>
              <w:pageBreakBefore w:val="0"/>
              <w:widowControl/>
              <w:suppressLineNumbers w:val="0"/>
              <w:kinsoku/>
              <w:wordWrap/>
              <w:overflowPunct/>
              <w:topLinePunct w:val="0"/>
              <w:autoSpaceDE/>
              <w:autoSpaceDN/>
              <w:bidi w:val="0"/>
              <w:adjustRightInd/>
              <w:snapToGrid/>
              <w:spacing w:before="120" w:after="12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极低风险</w:t>
            </w:r>
          </w:p>
        </w:tc>
      </w:tr>
    </w:tbl>
    <w:p>
      <w:pPr>
        <w:keepNext w:val="0"/>
        <w:keepLines w:val="0"/>
        <w:pageBreakBefore w:val="0"/>
        <w:widowControl/>
        <w:suppressLineNumbers w:val="0"/>
        <w:kinsoku/>
        <w:wordWrap/>
        <w:overflowPunct/>
        <w:topLinePunct w:val="0"/>
        <w:autoSpaceDE/>
        <w:autoSpaceDN/>
        <w:bidi w:val="0"/>
        <w:adjustRightInd/>
        <w:snapToGrid/>
        <w:spacing w:before="120" w:after="120"/>
        <w:jc w:val="left"/>
        <w:rPr>
          <w:rFonts w:hint="eastAsia" w:ascii="宋体" w:hAnsi="宋体" w:eastAsia="宋体" w:cs="宋体"/>
          <w:sz w:val="24"/>
          <w:szCs w:val="24"/>
        </w:rPr>
      </w:pPr>
    </w:p>
    <w:p>
      <w:pPr>
        <w:pStyle w:val="4"/>
        <w:numPr>
          <w:ilvl w:val="0"/>
          <w:numId w:val="0"/>
        </w:numPr>
        <w:bidi w:val="0"/>
        <w:ind w:leftChars="0"/>
        <w:rPr>
          <w:rFonts w:hint="eastAsia"/>
          <w:b/>
          <w:sz w:val="24"/>
          <w:szCs w:val="21"/>
          <w:lang w:val="en-US" w:eastAsia="zh-CN"/>
        </w:rPr>
      </w:pPr>
      <w:bookmarkStart w:id="20" w:name="_Toc11224"/>
      <w:r>
        <w:rPr>
          <w:rFonts w:hint="eastAsia"/>
          <w:b/>
          <w:sz w:val="24"/>
          <w:szCs w:val="21"/>
          <w:lang w:val="en-US" w:eastAsia="zh-CN"/>
        </w:rPr>
        <w:t>2.2 综合评价</w:t>
      </w:r>
      <w:bookmarkEnd w:id="20"/>
      <w:r>
        <w:rPr>
          <w:rFonts w:hint="eastAsia"/>
          <w:b/>
          <w:sz w:val="24"/>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本项目主要涉及以上三种风险，主要风险为技术风险和实施风险，这些风险都属于低风险和极低风险，基本不会影响预期效果。</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outlineLvl w:val="1"/>
        <w:rPr>
          <w:rFonts w:hint="eastAsia" w:ascii="宋体" w:hAnsi="宋体" w:eastAsia="宋体" w:cs="宋体"/>
          <w:b/>
          <w:bCs/>
          <w:color w:val="000000"/>
          <w:kern w:val="0"/>
          <w:sz w:val="24"/>
          <w:szCs w:val="24"/>
          <w:lang w:val="en-US" w:eastAsia="zh-CN" w:bidi="ar"/>
        </w:rPr>
      </w:pPr>
      <w:bookmarkStart w:id="21" w:name="_Toc23338"/>
      <w:r>
        <w:rPr>
          <w:rFonts w:hint="eastAsia" w:ascii="宋体" w:hAnsi="宋体" w:eastAsia="宋体" w:cs="宋体"/>
          <w:b/>
          <w:bCs/>
          <w:color w:val="000000"/>
          <w:kern w:val="0"/>
          <w:sz w:val="24"/>
          <w:szCs w:val="24"/>
          <w:lang w:val="en-US" w:eastAsia="zh-CN" w:bidi="ar"/>
        </w:rPr>
        <w:t>（三）风险评估结论</w:t>
      </w:r>
      <w:bookmarkEnd w:id="21"/>
      <w:r>
        <w:rPr>
          <w:rFonts w:hint="eastAsia" w:ascii="宋体" w:hAnsi="宋体" w:eastAsia="宋体" w:cs="宋体"/>
          <w:b/>
          <w:bCs/>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本项目风险低，可行性高，风险可以努力做到有效防范与控制，项目如成功实施，将直接提高海上风电场的管理效率，降低运维成本，提升经济效益。</w:t>
      </w:r>
    </w:p>
    <w:p>
      <w:pPr>
        <w:pStyle w:val="2"/>
        <w:numPr>
          <w:ilvl w:val="0"/>
          <w:numId w:val="2"/>
        </w:numPr>
        <w:bidi w:val="0"/>
        <w:jc w:val="left"/>
        <w:rPr>
          <w:rFonts w:hint="eastAsia"/>
          <w:b/>
          <w:sz w:val="32"/>
          <w:szCs w:val="20"/>
          <w:lang w:val="en-US" w:eastAsia="zh-CN"/>
        </w:rPr>
      </w:pPr>
      <w:bookmarkStart w:id="22" w:name="_Toc19982"/>
      <w:r>
        <w:rPr>
          <w:rFonts w:hint="eastAsia"/>
          <w:b/>
          <w:sz w:val="32"/>
          <w:szCs w:val="20"/>
          <w:lang w:val="en-US" w:eastAsia="zh-CN"/>
        </w:rPr>
        <w:t>前期工作基础</w:t>
      </w:r>
      <w:bookmarkEnd w:id="22"/>
    </w:p>
    <w:p>
      <w:pPr>
        <w:pStyle w:val="3"/>
        <w:numPr>
          <w:ilvl w:val="0"/>
          <w:numId w:val="0"/>
        </w:numPr>
        <w:bidi w:val="0"/>
        <w:rPr>
          <w:rFonts w:hint="eastAsia" w:ascii="宋体" w:hAnsi="宋体" w:eastAsia="宋体" w:cs="宋体"/>
          <w:b/>
          <w:sz w:val="28"/>
          <w:szCs w:val="22"/>
          <w:lang w:val="en-US" w:eastAsia="zh-CN"/>
        </w:rPr>
      </w:pPr>
      <w:bookmarkStart w:id="23" w:name="_Toc27269"/>
      <w:r>
        <w:rPr>
          <w:rFonts w:hint="eastAsia" w:ascii="宋体" w:hAnsi="宋体" w:eastAsia="宋体" w:cs="宋体"/>
          <w:b/>
          <w:sz w:val="28"/>
          <w:szCs w:val="22"/>
          <w:lang w:val="en-US" w:eastAsia="zh-CN"/>
        </w:rPr>
        <w:t>（一）现有研发条件</w:t>
      </w:r>
      <w:bookmarkEnd w:id="23"/>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项目组研发人员组成：</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阳江海上风电实验室朱嵘华教授、东君伟博士及团队成员合计4人。</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阳江海上风电实验室设备和仪器，为本项目提供支持。</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东君伟博士负责的香山微波公司已拥有5G/6G研究与测试实验室，将为本项目提供技术支持，降低研发成本和技术门槛。</w:t>
      </w:r>
    </w:p>
    <w:p>
      <w:pPr>
        <w:pStyle w:val="3"/>
        <w:numPr>
          <w:ilvl w:val="0"/>
          <w:numId w:val="0"/>
        </w:numPr>
        <w:bidi w:val="0"/>
        <w:rPr>
          <w:rFonts w:hint="eastAsia" w:ascii="宋体" w:hAnsi="宋体" w:eastAsia="宋体" w:cs="宋体"/>
          <w:b/>
          <w:sz w:val="28"/>
          <w:szCs w:val="22"/>
          <w:lang w:val="en-US" w:eastAsia="zh-CN"/>
        </w:rPr>
      </w:pPr>
      <w:bookmarkStart w:id="24" w:name="_Toc3756"/>
      <w:r>
        <w:rPr>
          <w:rFonts w:hint="eastAsia" w:ascii="宋体" w:hAnsi="宋体" w:eastAsia="宋体" w:cs="宋体"/>
          <w:b/>
          <w:sz w:val="28"/>
          <w:szCs w:val="22"/>
          <w:lang w:val="en-US" w:eastAsia="zh-CN"/>
        </w:rPr>
        <w:t>（二）已有的研究基础和成果</w:t>
      </w:r>
      <w:bookmarkEnd w:id="24"/>
    </w:p>
    <w:tbl>
      <w:tblPr>
        <w:tblStyle w:val="8"/>
        <w:tblW w:w="8931" w:type="dxa"/>
        <w:tblInd w:w="-34"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62"/>
        <w:gridCol w:w="4387"/>
        <w:gridCol w:w="1193"/>
        <w:gridCol w:w="238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9"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w:t>
            </w:r>
          </w:p>
        </w:tc>
        <w:tc>
          <w:tcPr>
            <w:tcW w:w="43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论文标题</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完成方式</w:t>
            </w:r>
          </w:p>
        </w:tc>
        <w:tc>
          <w:tcPr>
            <w:tcW w:w="2389" w:type="dxa"/>
            <w:tcBorders>
              <w:top w:val="single" w:color="auto" w:sz="4" w:space="0"/>
              <w:left w:val="single" w:color="auto" w:sz="4" w:space="0"/>
              <w:bottom w:val="single" w:color="auto" w:sz="4" w:space="0"/>
              <w:right w:val="single" w:color="auto" w:sz="4" w:space="0"/>
            </w:tcBorders>
            <w:vAlign w:val="center"/>
          </w:tcPr>
          <w:p>
            <w:pPr>
              <w:snapToGrid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发表刊物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214"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bCs/>
                <w:sz w:val="18"/>
                <w:szCs w:val="18"/>
              </w:rPr>
            </w:pPr>
            <w:r>
              <w:rPr>
                <w:rFonts w:hint="eastAsia" w:ascii="宋体" w:hAnsi="宋体" w:eastAsia="宋体" w:cs="宋体"/>
                <w:sz w:val="18"/>
                <w:szCs w:val="18"/>
              </w:rPr>
              <w:t>2014</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rPr>
            </w:pPr>
            <w:r>
              <w:rPr>
                <w:rFonts w:hint="eastAsia" w:ascii="宋体" w:hAnsi="宋体" w:eastAsia="宋体" w:cs="宋体"/>
                <w:sz w:val="18"/>
                <w:szCs w:val="18"/>
              </w:rPr>
              <w:t>应用于载波集合无线电通信系统的室外级联四工七单元设计</w:t>
            </w:r>
          </w:p>
          <w:p>
            <w:pPr>
              <w:pStyle w:val="15"/>
              <w:numPr>
                <w:ilvl w:val="0"/>
                <w:numId w:val="0"/>
              </w:numPr>
              <w:rPr>
                <w:rFonts w:hint="eastAsia" w:ascii="宋体" w:hAnsi="宋体" w:eastAsia="宋体" w:cs="宋体"/>
                <w:bCs/>
                <w:sz w:val="18"/>
                <w:szCs w:val="18"/>
              </w:rPr>
            </w:pPr>
            <w:r>
              <w:rPr>
                <w:rFonts w:hint="eastAsia" w:ascii="宋体" w:hAnsi="宋体" w:eastAsia="宋体" w:cs="宋体"/>
                <w:sz w:val="18"/>
                <w:szCs w:val="18"/>
                <w:lang w:eastAsia="zh-CN"/>
              </w:rPr>
              <w:t>A Quadruplexer Outdoor</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Branching  Unit for Carrier Aggregation</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Radio Communications Systems</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rPr>
            </w:pPr>
            <w:r>
              <w:rPr>
                <w:rFonts w:hint="eastAsia" w:ascii="宋体" w:hAnsi="宋体" w:eastAsia="宋体" w:cs="宋体"/>
                <w:sz w:val="18"/>
                <w:szCs w:val="18"/>
              </w:rPr>
              <w:t>URSI国际无线电科学会刊</w:t>
            </w:r>
          </w:p>
          <w:p>
            <w:pPr>
              <w:pStyle w:val="15"/>
              <w:numPr>
                <w:ilvl w:val="0"/>
                <w:numId w:val="0"/>
              </w:numPr>
              <w:rPr>
                <w:rFonts w:hint="eastAsia" w:ascii="宋体" w:hAnsi="宋体" w:eastAsia="宋体" w:cs="宋体"/>
                <w:bCs/>
                <w:sz w:val="18"/>
                <w:szCs w:val="18"/>
              </w:rPr>
            </w:pPr>
            <w:r>
              <w:rPr>
                <w:rFonts w:hint="eastAsia" w:ascii="宋体" w:hAnsi="宋体" w:eastAsia="宋体" w:cs="宋体"/>
                <w:sz w:val="18"/>
                <w:szCs w:val="18"/>
                <w:lang w:eastAsia="zh-CN"/>
              </w:rPr>
              <w:t>URSI</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General</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Assembly, Aug. 2014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32"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2011</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基于光束跟踪的二维棱镜快速仿真算法</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Fast Ray Tracing Method for 2D Microwave Lens Simulation</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IEEE国际电气电子协会天线与传播会刊</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IEEE</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Transactions on</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Antennas</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 xml:space="preserve">and Propagation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21"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2010</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多焦点和非焦点二维Rotman棱镜设计和相位误差分析</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Phase-error</w:t>
            </w:r>
            <w:r>
              <w:rPr>
                <w:rFonts w:hint="eastAsia" w:ascii="宋体" w:hAnsi="宋体" w:eastAsia="宋体" w:cs="宋体"/>
                <w:sz w:val="18"/>
                <w:szCs w:val="18"/>
                <w:lang w:val="en-US" w:eastAsia="zh-CN"/>
              </w:rPr>
              <w:t xml:space="preserve"> </w:t>
            </w:r>
            <w:r>
              <w:rPr>
                <w:rFonts w:hint="eastAsia" w:ascii="宋体" w:hAnsi="宋体" w:eastAsia="宋体" w:cs="宋体"/>
                <w:sz w:val="18"/>
                <w:szCs w:val="18"/>
                <w:lang w:eastAsia="zh-CN"/>
              </w:rPr>
              <w:t xml:space="preserve">performance of multi-focal and non-focal two dimensional Rotman lens designs </w:t>
            </w:r>
          </w:p>
          <w:p>
            <w:pPr>
              <w:pStyle w:val="15"/>
              <w:numPr>
                <w:ilvl w:val="0"/>
                <w:numId w:val="0"/>
              </w:numPr>
              <w:rPr>
                <w:rFonts w:hint="eastAsia" w:ascii="宋体" w:hAnsi="宋体" w:eastAsia="宋体" w:cs="宋体"/>
                <w:sz w:val="18"/>
                <w:szCs w:val="18"/>
                <w:lang w:eastAsia="zh-CN"/>
              </w:rPr>
            </w:pP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IET 微波天线及传播期刊</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Journal</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of IET Microwaves, Antennas</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&amp; Propagation</w:t>
            </w:r>
          </w:p>
          <w:p>
            <w:pPr>
              <w:pStyle w:val="15"/>
              <w:numPr>
                <w:ilvl w:val="0"/>
                <w:numId w:val="0"/>
              </w:numPr>
              <w:rPr>
                <w:rFonts w:hint="eastAsia" w:ascii="宋体" w:hAnsi="宋体" w:eastAsia="宋体" w:cs="宋体"/>
                <w:sz w:val="18"/>
                <w:szCs w:val="18"/>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26"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2010</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应用于汽车传感的超高频段电扫描波天线设</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Extremely high-frequency beam steerable lens-fed antenna for vehicular sensor applications</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IET 微波天线及传播期刊</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Journal of IET Microwaves, Antennas &amp; Propagation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08"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2010</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用于UWB超宽带系统的笔形波束生成器设计</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Microwave Lens Pencil-Beam Former for UWB Applications</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美国全国无线电科学会议</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in URSI National Radio Science Meeting, Colorado, Jan. 2010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42"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2009</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Rotman棱镜幅值相位及方向图</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Rotman</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Lens</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Amplitude,Phase,and Pattern</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Evaluationsby Measurementsand Full Wave Simulations</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应用计算电磁学会期刊</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 xml:space="preserve">Journal of Applied Computational Electromagnetics Society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29"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2009</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用于鸟类飞行物观测的雷达技术浅析</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 xml:space="preserve">A  Review  of  Radar  Techniques  for  Ornithological  Observations </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IEEE国际天线与传播会刊</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Proceeding of  IEEE  International</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Symposium</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on  Antennas</w:t>
            </w:r>
            <w:r>
              <w:rPr>
                <w:rFonts w:hint="eastAsia" w:ascii="宋体" w:hAnsi="宋体" w:cs="宋体"/>
                <w:sz w:val="18"/>
                <w:szCs w:val="18"/>
                <w:lang w:val="en-US" w:eastAsia="zh-CN"/>
              </w:rPr>
              <w:t xml:space="preserve"> </w:t>
            </w:r>
            <w:r>
              <w:rPr>
                <w:rFonts w:hint="eastAsia" w:ascii="宋体" w:hAnsi="宋体" w:eastAsia="宋体" w:cs="宋体"/>
                <w:sz w:val="18"/>
                <w:szCs w:val="18"/>
                <w:lang w:eastAsia="zh-CN"/>
              </w:rPr>
              <w:t>and  Propagation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0"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2009</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基于电脑辅助设计的360度扫描棱镜天线设计</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Method and Computer-Aided Investigation Microwave Lens for 360-Degree Scanning</w:t>
            </w:r>
          </w:p>
          <w:p>
            <w:pPr>
              <w:pStyle w:val="15"/>
              <w:numPr>
                <w:ilvl w:val="0"/>
                <w:numId w:val="0"/>
              </w:numPr>
              <w:rPr>
                <w:rFonts w:hint="eastAsia" w:ascii="宋体" w:hAnsi="宋体" w:eastAsia="宋体" w:cs="宋体"/>
                <w:sz w:val="18"/>
                <w:szCs w:val="18"/>
                <w:lang w:eastAsia="zh-CN"/>
              </w:rPr>
            </w:pP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IEEE国际天线与传播会刊</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Proceeding of IEEE International Symposium on Antennas and Propagation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0"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2009</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360度扫描棱镜天线制作与实现</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Implementation of Microwave Lens for 360 -Degree Scanning</w:t>
            </w:r>
          </w:p>
          <w:p>
            <w:pPr>
              <w:pStyle w:val="15"/>
              <w:numPr>
                <w:ilvl w:val="0"/>
                <w:numId w:val="0"/>
              </w:numPr>
              <w:rPr>
                <w:rFonts w:hint="eastAsia" w:ascii="宋体" w:hAnsi="宋体" w:eastAsia="宋体" w:cs="宋体"/>
                <w:sz w:val="18"/>
                <w:szCs w:val="18"/>
                <w:lang w:eastAsia="zh-CN"/>
              </w:rPr>
            </w:pP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IEEE国际天线与传播会刊</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Proceeding of IEEE International Symposium on Antennas and Propagation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0"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2009</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基于临近域伸缩演变的新型随机优化算法研究</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Shrinking Neighborhood Evolution – A Novel Stochastic Algorithm for  Numerical  Optimization</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参与</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IEEE挪威演变计算会刊</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IEEE  Congress  on  Evolutionary  Computation,  Trondheim, Norway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0"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2008</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用于超高频点扫描天线的Rotman棱镜设计</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EHF Rotman Lens for Electronic  Scanning Antennas</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亚太微波学会会刊</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Proceeding of Asia Pacific Microwave Conference (APMC), Hong Kong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0"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2008</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最优相位误差非聚焦平面棱镜设计</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Non-Focal Minimum-Phase-Error Planar Rotman Lens</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美国全国无线电科学会议</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URSI National Radio Science Meeting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90" w:hRule="atLeast"/>
        </w:trPr>
        <w:tc>
          <w:tcPr>
            <w:tcW w:w="96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2008</w:t>
            </w:r>
          </w:p>
        </w:tc>
        <w:tc>
          <w:tcPr>
            <w:tcW w:w="4387"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微带线Rotman棱镜快速光束追踪分析方法</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A Fast Ray Tracing Method for Microstrip Rotman Lens Analysis</w:t>
            </w:r>
          </w:p>
        </w:tc>
        <w:tc>
          <w:tcPr>
            <w:tcW w:w="119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18"/>
                <w:szCs w:val="18"/>
              </w:rPr>
            </w:pPr>
            <w:r>
              <w:rPr>
                <w:rFonts w:hint="eastAsia" w:ascii="宋体" w:hAnsi="宋体" w:eastAsia="宋体" w:cs="宋体"/>
                <w:sz w:val="18"/>
                <w:szCs w:val="18"/>
              </w:rPr>
              <w:t>独立</w:t>
            </w:r>
          </w:p>
        </w:tc>
        <w:tc>
          <w:tcPr>
            <w:tcW w:w="2389" w:type="dxa"/>
            <w:tcBorders>
              <w:top w:val="single" w:color="auto" w:sz="4" w:space="0"/>
              <w:left w:val="single" w:color="auto" w:sz="4" w:space="0"/>
              <w:bottom w:val="single" w:color="auto" w:sz="4" w:space="0"/>
              <w:right w:val="single" w:color="auto" w:sz="4" w:space="0"/>
            </w:tcBorders>
            <w:vAlign w:val="center"/>
          </w:tcPr>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URSI国际无线电科学会刊</w:t>
            </w:r>
          </w:p>
          <w:p>
            <w:pPr>
              <w:pStyle w:val="15"/>
              <w:numPr>
                <w:ilvl w:val="0"/>
                <w:numId w:val="0"/>
              </w:numPr>
              <w:rPr>
                <w:rFonts w:hint="eastAsia" w:ascii="宋体" w:hAnsi="宋体" w:eastAsia="宋体" w:cs="宋体"/>
                <w:sz w:val="18"/>
                <w:szCs w:val="18"/>
                <w:lang w:eastAsia="zh-CN"/>
              </w:rPr>
            </w:pPr>
            <w:r>
              <w:rPr>
                <w:rFonts w:hint="eastAsia" w:ascii="宋体" w:hAnsi="宋体" w:eastAsia="宋体" w:cs="宋体"/>
                <w:sz w:val="18"/>
                <w:szCs w:val="18"/>
                <w:lang w:eastAsia="zh-CN"/>
              </w:rPr>
              <w:t>Proceeding of International Union of  Radio Science</w:t>
            </w:r>
          </w:p>
        </w:tc>
      </w:tr>
    </w:tbl>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eastAsia" w:ascii="宋体" w:hAnsi="宋体" w:eastAsia="宋体" w:cs="宋体"/>
          <w:color w:val="000000"/>
          <w:kern w:val="0"/>
          <w:sz w:val="24"/>
          <w:szCs w:val="24"/>
          <w:lang w:val="en-US" w:eastAsia="zh-CN" w:bidi="ar"/>
        </w:rPr>
      </w:pPr>
    </w:p>
    <w:p>
      <w:pPr>
        <w:pStyle w:val="3"/>
        <w:numPr>
          <w:ilvl w:val="0"/>
          <w:numId w:val="0"/>
        </w:numPr>
        <w:bidi w:val="0"/>
        <w:rPr>
          <w:rFonts w:hint="eastAsia" w:ascii="宋体" w:hAnsi="宋体" w:eastAsia="宋体" w:cs="宋体"/>
          <w:b/>
          <w:sz w:val="28"/>
          <w:szCs w:val="22"/>
          <w:lang w:val="en-US" w:eastAsia="zh-CN"/>
        </w:rPr>
      </w:pPr>
      <w:bookmarkStart w:id="25" w:name="_Toc27333"/>
      <w:r>
        <w:rPr>
          <w:rFonts w:hint="eastAsia" w:ascii="宋体" w:hAnsi="宋体" w:eastAsia="宋体" w:cs="宋体"/>
          <w:b/>
          <w:sz w:val="28"/>
          <w:szCs w:val="22"/>
          <w:lang w:val="en-US" w:eastAsia="zh-CN"/>
        </w:rPr>
        <w:t>（三）与项目相关的知识产权情况</w:t>
      </w:r>
      <w:bookmarkEnd w:id="2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30"/>
        <w:gridCol w:w="4193"/>
        <w:gridCol w:w="1275"/>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30"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专利保护期</w:t>
            </w:r>
          </w:p>
        </w:tc>
        <w:tc>
          <w:tcPr>
            <w:tcW w:w="4193"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专利名称</w:t>
            </w:r>
          </w:p>
        </w:tc>
        <w:tc>
          <w:tcPr>
            <w:tcW w:w="1275"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授权国家</w:t>
            </w:r>
          </w:p>
        </w:tc>
        <w:tc>
          <w:tcPr>
            <w:tcW w:w="1324"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center"/>
              <w:textAlignment w:val="auto"/>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发明人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0" w:hRule="atLeast"/>
        </w:trPr>
        <w:tc>
          <w:tcPr>
            <w:tcW w:w="1730"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2013-2033</w:t>
            </w:r>
          </w:p>
        </w:tc>
        <w:tc>
          <w:tcPr>
            <w:tcW w:w="4193"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eastAsia"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用于双极化通信系统的紧凑四路耦合器件设计</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 xml:space="preserve">Compact Four-way Transducer for Dual Polarization Communications Systems   </w:t>
            </w:r>
          </w:p>
        </w:tc>
        <w:tc>
          <w:tcPr>
            <w:tcW w:w="1275"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美国</w:t>
            </w:r>
          </w:p>
        </w:tc>
        <w:tc>
          <w:tcPr>
            <w:tcW w:w="1324"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东君伟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730"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2013-2033</w:t>
            </w:r>
          </w:p>
        </w:tc>
        <w:tc>
          <w:tcPr>
            <w:tcW w:w="4193"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eastAsia"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用于超低干扰通信系统的微波天线设计</w:t>
            </w:r>
          </w:p>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 xml:space="preserve">Microwave Antennas for Extremely low Interference Communications Systems </w:t>
            </w:r>
          </w:p>
        </w:tc>
        <w:tc>
          <w:tcPr>
            <w:tcW w:w="1275"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美国</w:t>
            </w:r>
          </w:p>
        </w:tc>
        <w:tc>
          <w:tcPr>
            <w:tcW w:w="1324" w:type="dxa"/>
          </w:tcPr>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center"/>
              <w:textAlignment w:val="auto"/>
              <w:rPr>
                <w:rFonts w:hint="default" w:ascii="宋体" w:hAnsi="宋体" w:eastAsia="宋体" w:cs="宋体"/>
                <w:color w:val="000000"/>
                <w:kern w:val="0"/>
                <w:sz w:val="18"/>
                <w:szCs w:val="18"/>
                <w:vertAlign w:val="baseline"/>
                <w:lang w:val="en-US" w:eastAsia="zh-CN" w:bidi="ar"/>
              </w:rPr>
            </w:pPr>
            <w:r>
              <w:rPr>
                <w:rFonts w:hint="eastAsia" w:ascii="宋体" w:hAnsi="宋体" w:eastAsia="宋体" w:cs="宋体"/>
                <w:color w:val="000000"/>
                <w:kern w:val="0"/>
                <w:sz w:val="18"/>
                <w:szCs w:val="18"/>
                <w:vertAlign w:val="baseline"/>
                <w:lang w:val="en-US" w:eastAsia="zh-CN" w:bidi="ar"/>
              </w:rPr>
              <w:t>东君伟</w:t>
            </w:r>
          </w:p>
        </w:tc>
      </w:tr>
    </w:tbl>
    <w:p>
      <w:pPr>
        <w:keepNext w:val="0"/>
        <w:keepLines w:val="0"/>
        <w:pageBreakBefore w:val="0"/>
        <w:widowControl/>
        <w:suppressLineNumbers w:val="0"/>
        <w:kinsoku/>
        <w:wordWrap/>
        <w:overflowPunct/>
        <w:topLinePunct w:val="0"/>
        <w:autoSpaceDE/>
        <w:autoSpaceDN/>
        <w:bidi w:val="0"/>
        <w:adjustRightInd/>
        <w:snapToGrid/>
        <w:spacing w:before="120" w:after="120" w:line="360" w:lineRule="auto"/>
        <w:jc w:val="left"/>
        <w:textAlignment w:val="auto"/>
        <w:rPr>
          <w:rFonts w:hint="default" w:ascii="宋体" w:hAnsi="宋体" w:eastAsia="宋体" w:cs="宋体"/>
          <w:color w:val="000000"/>
          <w:kern w:val="0"/>
          <w:sz w:val="24"/>
          <w:szCs w:val="24"/>
          <w:lang w:val="en-US" w:eastAsia="zh-CN" w:bidi="ar"/>
        </w:rPr>
      </w:pPr>
    </w:p>
    <w:p>
      <w:pPr>
        <w:pStyle w:val="3"/>
        <w:numPr>
          <w:ilvl w:val="0"/>
          <w:numId w:val="0"/>
        </w:numPr>
        <w:bidi w:val="0"/>
        <w:rPr>
          <w:rFonts w:hint="eastAsia" w:ascii="宋体" w:hAnsi="宋体" w:eastAsia="宋体" w:cs="宋体"/>
          <w:b/>
          <w:sz w:val="28"/>
          <w:szCs w:val="22"/>
          <w:lang w:val="en-US" w:eastAsia="zh-CN"/>
        </w:rPr>
      </w:pPr>
      <w:bookmarkStart w:id="26" w:name="_Toc7489"/>
      <w:r>
        <w:rPr>
          <w:rFonts w:hint="eastAsia" w:ascii="宋体" w:hAnsi="宋体" w:eastAsia="宋体" w:cs="宋体"/>
          <w:b/>
          <w:sz w:val="28"/>
          <w:szCs w:val="22"/>
          <w:lang w:val="en-US" w:eastAsia="zh-CN"/>
        </w:rPr>
        <w:t>（四）近三年直接获得国家、省、市、县科技部门资助的相关项目情况。</w:t>
      </w:r>
      <w:bookmarkEnd w:id="26"/>
      <w:r>
        <w:rPr>
          <w:rFonts w:hint="eastAsia" w:ascii="宋体" w:hAnsi="宋体" w:eastAsia="宋体" w:cs="宋体"/>
          <w:b/>
          <w:sz w:val="28"/>
          <w:szCs w:val="22"/>
          <w:lang w:val="en-US" w:eastAsia="zh-CN"/>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after="120" w:line="360" w:lineRule="auto"/>
        <w:ind w:lef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color w:val="000000"/>
          <w:kern w:val="0"/>
          <w:sz w:val="24"/>
          <w:szCs w:val="24"/>
          <w:lang w:val="en-US" w:eastAsia="zh-CN" w:bidi="ar"/>
        </w:rPr>
        <w:t>暂无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ymbol">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D0F75"/>
    <w:multiLevelType w:val="singleLevel"/>
    <w:tmpl w:val="900D0F75"/>
    <w:lvl w:ilvl="0" w:tentative="0">
      <w:start w:val="1"/>
      <w:numFmt w:val="decimal"/>
      <w:suff w:val="nothing"/>
      <w:lvlText w:val="（%1）"/>
      <w:lvlJc w:val="left"/>
    </w:lvl>
  </w:abstractNum>
  <w:abstractNum w:abstractNumId="1">
    <w:nsid w:val="9EAE705D"/>
    <w:multiLevelType w:val="singleLevel"/>
    <w:tmpl w:val="9EAE705D"/>
    <w:lvl w:ilvl="0" w:tentative="0">
      <w:start w:val="1"/>
      <w:numFmt w:val="decimal"/>
      <w:suff w:val="nothing"/>
      <w:lvlText w:val="（%1）"/>
      <w:lvlJc w:val="left"/>
    </w:lvl>
  </w:abstractNum>
  <w:abstractNum w:abstractNumId="2">
    <w:nsid w:val="A090F747"/>
    <w:multiLevelType w:val="multilevel"/>
    <w:tmpl w:val="A090F74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C184001E"/>
    <w:multiLevelType w:val="singleLevel"/>
    <w:tmpl w:val="C184001E"/>
    <w:lvl w:ilvl="0" w:tentative="0">
      <w:start w:val="1"/>
      <w:numFmt w:val="decimal"/>
      <w:suff w:val="nothing"/>
      <w:lvlText w:val="（%1）"/>
      <w:lvlJc w:val="left"/>
    </w:lvl>
  </w:abstractNum>
  <w:abstractNum w:abstractNumId="4">
    <w:nsid w:val="00000001"/>
    <w:multiLevelType w:val="multilevel"/>
    <w:tmpl w:val="00000001"/>
    <w:lvl w:ilvl="0" w:tentative="0">
      <w:start w:val="1"/>
      <w:numFmt w:val="bullet"/>
      <w:pStyle w:val="15"/>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Symbol" w:hAnsi="Symbol" w:cs="OpenSymbol"/>
      </w:rPr>
    </w:lvl>
    <w:lvl w:ilvl="2" w:tentative="0">
      <w:start w:val="1"/>
      <w:numFmt w:val="bullet"/>
      <w:lvlText w:val=""/>
      <w:lvlJc w:val="left"/>
      <w:pPr>
        <w:tabs>
          <w:tab w:val="left" w:pos="1440"/>
        </w:tabs>
        <w:ind w:left="1440" w:hanging="360"/>
      </w:pPr>
      <w:rPr>
        <w:rFonts w:ascii="Symbol" w:hAnsi="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Symbol" w:hAnsi="Symbol" w:cs="OpenSymbol"/>
      </w:rPr>
    </w:lvl>
    <w:lvl w:ilvl="5" w:tentative="0">
      <w:start w:val="1"/>
      <w:numFmt w:val="bullet"/>
      <w:lvlText w:val=""/>
      <w:lvlJc w:val="left"/>
      <w:pPr>
        <w:tabs>
          <w:tab w:val="left" w:pos="2520"/>
        </w:tabs>
        <w:ind w:left="2520" w:hanging="360"/>
      </w:pPr>
      <w:rPr>
        <w:rFonts w:ascii="Symbol" w:hAnsi="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Symbol" w:hAnsi="Symbol" w:cs="OpenSymbol"/>
      </w:rPr>
    </w:lvl>
    <w:lvl w:ilvl="8" w:tentative="0">
      <w:start w:val="1"/>
      <w:numFmt w:val="bullet"/>
      <w:lvlText w:val=""/>
      <w:lvlJc w:val="left"/>
      <w:pPr>
        <w:tabs>
          <w:tab w:val="left" w:pos="3600"/>
        </w:tabs>
        <w:ind w:left="3600" w:hanging="360"/>
      </w:pPr>
      <w:rPr>
        <w:rFonts w:ascii="Symbol" w:hAnsi="Symbol" w:cs="OpenSymbol"/>
      </w:rPr>
    </w:lvl>
  </w:abstractNum>
  <w:abstractNum w:abstractNumId="5">
    <w:nsid w:val="166A446E"/>
    <w:multiLevelType w:val="singleLevel"/>
    <w:tmpl w:val="166A446E"/>
    <w:lvl w:ilvl="0" w:tentative="0">
      <w:start w:val="1"/>
      <w:numFmt w:val="chineseCounting"/>
      <w:suff w:val="nothing"/>
      <w:lvlText w:val="（%1）"/>
      <w:lvlJc w:val="left"/>
      <w:rPr>
        <w:rFonts w:hint="eastAsia"/>
      </w:rPr>
    </w:lvl>
  </w:abstractNum>
  <w:abstractNum w:abstractNumId="6">
    <w:nsid w:val="203C66DA"/>
    <w:multiLevelType w:val="singleLevel"/>
    <w:tmpl w:val="203C66DA"/>
    <w:lvl w:ilvl="0" w:tentative="0">
      <w:start w:val="1"/>
      <w:numFmt w:val="decimal"/>
      <w:suff w:val="nothing"/>
      <w:lvlText w:val="（%1）"/>
      <w:lvlJc w:val="left"/>
    </w:lvl>
  </w:abstractNum>
  <w:abstractNum w:abstractNumId="7">
    <w:nsid w:val="24A169F9"/>
    <w:multiLevelType w:val="singleLevel"/>
    <w:tmpl w:val="24A169F9"/>
    <w:lvl w:ilvl="0" w:tentative="0">
      <w:start w:val="1"/>
      <w:numFmt w:val="decimal"/>
      <w:suff w:val="nothing"/>
      <w:lvlText w:val="（%1）"/>
      <w:lvlJc w:val="left"/>
    </w:lvl>
  </w:abstractNum>
  <w:abstractNum w:abstractNumId="8">
    <w:nsid w:val="2845C3A0"/>
    <w:multiLevelType w:val="singleLevel"/>
    <w:tmpl w:val="2845C3A0"/>
    <w:lvl w:ilvl="0" w:tentative="0">
      <w:start w:val="1"/>
      <w:numFmt w:val="decimal"/>
      <w:suff w:val="nothing"/>
      <w:lvlText w:val="（%1）"/>
      <w:lvlJc w:val="left"/>
    </w:lvl>
  </w:abstractNum>
  <w:abstractNum w:abstractNumId="9">
    <w:nsid w:val="2F751B84"/>
    <w:multiLevelType w:val="singleLevel"/>
    <w:tmpl w:val="2F751B84"/>
    <w:lvl w:ilvl="0" w:tentative="0">
      <w:start w:val="1"/>
      <w:numFmt w:val="chineseCounting"/>
      <w:suff w:val="nothing"/>
      <w:lvlText w:val="%1、"/>
      <w:lvlJc w:val="left"/>
      <w:rPr>
        <w:rFonts w:hint="eastAsia"/>
      </w:rPr>
    </w:lvl>
  </w:abstractNum>
  <w:abstractNum w:abstractNumId="10">
    <w:nsid w:val="5B600143"/>
    <w:multiLevelType w:val="singleLevel"/>
    <w:tmpl w:val="5B600143"/>
    <w:lvl w:ilvl="0" w:tentative="0">
      <w:start w:val="1"/>
      <w:numFmt w:val="decimal"/>
      <w:suff w:val="nothing"/>
      <w:lvlText w:val="（%1）"/>
      <w:lvlJc w:val="left"/>
    </w:lvl>
  </w:abstractNum>
  <w:num w:numId="1">
    <w:abstractNumId w:val="4"/>
  </w:num>
  <w:num w:numId="2">
    <w:abstractNumId w:val="9"/>
  </w:num>
  <w:num w:numId="3">
    <w:abstractNumId w:val="5"/>
  </w:num>
  <w:num w:numId="4">
    <w:abstractNumId w:val="2"/>
  </w:num>
  <w:num w:numId="5">
    <w:abstractNumId w:val="8"/>
  </w:num>
  <w:num w:numId="6">
    <w:abstractNumId w:val="6"/>
  </w:num>
  <w:num w:numId="7">
    <w:abstractNumId w:val="0"/>
  </w:num>
  <w:num w:numId="8">
    <w:abstractNumId w:val="3"/>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8742B"/>
    <w:rsid w:val="012C7387"/>
    <w:rsid w:val="01C87292"/>
    <w:rsid w:val="0218742B"/>
    <w:rsid w:val="03106089"/>
    <w:rsid w:val="04B149AF"/>
    <w:rsid w:val="05287942"/>
    <w:rsid w:val="07341980"/>
    <w:rsid w:val="085D4842"/>
    <w:rsid w:val="099358FC"/>
    <w:rsid w:val="09976FE5"/>
    <w:rsid w:val="09EE3B55"/>
    <w:rsid w:val="0BF60731"/>
    <w:rsid w:val="0D510D93"/>
    <w:rsid w:val="0DFD426D"/>
    <w:rsid w:val="114570EA"/>
    <w:rsid w:val="115C2E95"/>
    <w:rsid w:val="11A470B2"/>
    <w:rsid w:val="11D83DB7"/>
    <w:rsid w:val="1354094B"/>
    <w:rsid w:val="13B20E97"/>
    <w:rsid w:val="16D70F0A"/>
    <w:rsid w:val="17B24855"/>
    <w:rsid w:val="19880092"/>
    <w:rsid w:val="199F0499"/>
    <w:rsid w:val="1AE466DD"/>
    <w:rsid w:val="1B333F3D"/>
    <w:rsid w:val="1C346C9F"/>
    <w:rsid w:val="1C746A8B"/>
    <w:rsid w:val="1D8A70C3"/>
    <w:rsid w:val="1DC968EB"/>
    <w:rsid w:val="228C45C3"/>
    <w:rsid w:val="229112CE"/>
    <w:rsid w:val="23135BFB"/>
    <w:rsid w:val="23884923"/>
    <w:rsid w:val="24121B90"/>
    <w:rsid w:val="253265BA"/>
    <w:rsid w:val="2627601A"/>
    <w:rsid w:val="26A05CA6"/>
    <w:rsid w:val="276D5AA8"/>
    <w:rsid w:val="29744FBB"/>
    <w:rsid w:val="2BDB352E"/>
    <w:rsid w:val="314334AB"/>
    <w:rsid w:val="31AC3A9E"/>
    <w:rsid w:val="321955A1"/>
    <w:rsid w:val="3275457C"/>
    <w:rsid w:val="339D7B45"/>
    <w:rsid w:val="33D80CD9"/>
    <w:rsid w:val="33FA563C"/>
    <w:rsid w:val="34C36D0E"/>
    <w:rsid w:val="357C6836"/>
    <w:rsid w:val="364037F0"/>
    <w:rsid w:val="372D289E"/>
    <w:rsid w:val="38CC6ED9"/>
    <w:rsid w:val="3B13384C"/>
    <w:rsid w:val="3B45020C"/>
    <w:rsid w:val="3DB614BB"/>
    <w:rsid w:val="404D7BB0"/>
    <w:rsid w:val="46C252AC"/>
    <w:rsid w:val="4759035F"/>
    <w:rsid w:val="47CA5FEF"/>
    <w:rsid w:val="4A7B130F"/>
    <w:rsid w:val="4ADA0D01"/>
    <w:rsid w:val="4C7E7960"/>
    <w:rsid w:val="4D194ADA"/>
    <w:rsid w:val="4D605A23"/>
    <w:rsid w:val="4E1853E5"/>
    <w:rsid w:val="50802697"/>
    <w:rsid w:val="50E9170F"/>
    <w:rsid w:val="51996580"/>
    <w:rsid w:val="52D41782"/>
    <w:rsid w:val="52DE3134"/>
    <w:rsid w:val="52FB0592"/>
    <w:rsid w:val="55035DBA"/>
    <w:rsid w:val="575F00B4"/>
    <w:rsid w:val="57F72F39"/>
    <w:rsid w:val="58A7569D"/>
    <w:rsid w:val="5973464B"/>
    <w:rsid w:val="59FA47AD"/>
    <w:rsid w:val="5A6C0AD7"/>
    <w:rsid w:val="5AE27B6B"/>
    <w:rsid w:val="5BCE63AB"/>
    <w:rsid w:val="5CC81461"/>
    <w:rsid w:val="5E814067"/>
    <w:rsid w:val="62321056"/>
    <w:rsid w:val="633F0BD2"/>
    <w:rsid w:val="6362015D"/>
    <w:rsid w:val="64326B20"/>
    <w:rsid w:val="65197BFE"/>
    <w:rsid w:val="6962170F"/>
    <w:rsid w:val="6AA84B54"/>
    <w:rsid w:val="6B4F48F6"/>
    <w:rsid w:val="6BC84351"/>
    <w:rsid w:val="6EE20D8A"/>
    <w:rsid w:val="6F036776"/>
    <w:rsid w:val="6F0B79F8"/>
    <w:rsid w:val="6F3E6E39"/>
    <w:rsid w:val="71642858"/>
    <w:rsid w:val="746D3DD9"/>
    <w:rsid w:val="74F978CE"/>
    <w:rsid w:val="75344527"/>
    <w:rsid w:val="768A5DBF"/>
    <w:rsid w:val="7AA83C71"/>
    <w:rsid w:val="7B0F5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qFormat/>
    <w:uiPriority w:val="99"/>
    <w:rPr>
      <w:color w:val="0563C1" w:themeColor="hyperlink"/>
      <w:u w:val="single"/>
      <w14:textFill>
        <w14:solidFill>
          <w14:schemeClr w14:val="hlink"/>
        </w14:solidFill>
      </w14:textFill>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 w:type="paragraph" w:customStyle="1" w:styleId="15">
    <w:name w:val="Achievement"/>
    <w:next w:val="11"/>
    <w:qFormat/>
    <w:uiPriority w:val="0"/>
    <w:pPr>
      <w:numPr>
        <w:ilvl w:val="0"/>
        <w:numId w:val="1"/>
      </w:numPr>
      <w:tabs>
        <w:tab w:val="left" w:pos="360"/>
      </w:tabs>
      <w:spacing w:after="60" w:line="220" w:lineRule="atLeast"/>
      <w:jc w:val="both"/>
    </w:pPr>
    <w:rPr>
      <w:rFonts w:ascii="Arial" w:hAnsi="Arial" w:eastAsia="宋体" w:cs="Times New Roman"/>
      <w:spacing w:val="-5"/>
      <w:kern w:val="0"/>
      <w:sz w:val="20"/>
      <w:szCs w:val="20"/>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2021-01-20T02:01:00Z</dcterms:created>
  <dc:creator>云海传奇</dc:creator>
  <cp:lastModifiedBy>云海传奇</cp:lastModifiedBy>
  <dcterms:modified xsi:type="dcterms:W3CDTF">2021-01-21T20:05:27Z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