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numPr>
          <w:ilvl w:val="0"/>
          <w:numId w:val="1"/>
        </w:numPr>
        <w:ind w:left="720" w:hanging="360"/>
        <w:rPr>
          <w:sz w:val="42"/>
          <w:szCs w:val="42"/>
        </w:rPr>
      </w:pPr>
      <w:hyperlink r:id="rId6">
        <w:r w:rsidDel="00000000" w:rsidR="00000000" w:rsidRPr="00000000">
          <w:rPr>
            <w:color w:val="1155cc"/>
            <w:sz w:val="42"/>
            <w:szCs w:val="42"/>
            <w:u w:val="single"/>
            <w:rtl w:val="0"/>
          </w:rPr>
          <w:t xml:space="preserve">Count minimum number of fountains to be activated to cover the entire garden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ind w:left="720" w:hanging="360"/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Simple question, you just need to sort and cnt.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ind w:left="720" w:hanging="360"/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Similar to coin change 2 leetcode - https://leetcode.com/problems/coin-change-2/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geeksforgeeks.org/count-minimum-number-of-fountains-to-be-activated-to-cover-the-entire-garden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