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Texas Instruments 2026 Online Assessment</w:t>
      </w:r>
    </w:p>
    <w:p>
      <w:pPr>
        <w:pStyle w:val="Subtitle"/>
      </w:pPr>
      <w:r>
        <w:t xml:space="preserve">Unofficial candidate experience and preparation notes</w:t>
      </w:r>
    </w:p>
    <w:p>
      <w:pPr>
        <w:pStyle w:val="Heading1"/>
      </w:pPr>
      <w:r>
        <w:t xml:space="preserve">Purpose and scope</w:t>
      </w:r>
    </w:p>
    <w:p>
      <w:r>
        <w:t xml:space="preserve">This document consolidates an informal candidate account of a Texas Instruments 2026 online assessment. It is intended solely as a preparation reference. Assessment format, question difficulty, and topic coverage may change across campuses, roles, and test windows.</w:t>
      </w:r>
    </w:p>
    <w:p>
      <w:pPr>
        <w:pStyle w:val="Heading1"/>
      </w:pPr>
      <w:r>
        <w:t xml:space="preserve">Assessment setting</w:t>
      </w:r>
    </w:p>
    <w:p>
      <w:r>
        <w:t xml:space="preserve">The assessment was reportedly conducted in a laboratory under invigilation. Because photographs were not permitted, the questions below are reconstructed from memory and should be treated as approximate descriptions rather than verbatim problem statements.</w:t>
      </w:r>
    </w:p>
    <w:p>
      <w:pPr>
        <w:pStyle w:val="Heading1"/>
      </w:pPr>
      <w:r>
        <w:t xml:space="preserve">Reported structure and topics</w:t>
      </w:r>
    </w:p>
    <w:p>
      <w:r>
        <w:t xml:space="preserve">The assessment reportedly included two programming questions along with multiple-choice questions. The programming questions were described as straightforward string-processing tasks; the multiple-choice section was considered comparatively more demanding.</w:t>
      </w:r>
    </w:p>
    <w:p>
      <w:pPr>
        <w:pStyle w:val="Heading1"/>
      </w:pPr>
      <w:r>
        <w:t xml:space="preserve">Programming question 1: card-value running count</w:t>
      </w:r>
    </w:p>
    <w:p>
      <w:r>
        <w:t xml:space="preserve">A space-separated input string contains card ranks selected from 2, 3, 4, 5, 6, 7, 8, 9, 10, A, J, K, and Q. Starting with a count of 0, process each token using the following rules:</w:t>
      </w:r>
    </w:p>
    <w:p>
      <w:pPr>
        <w:numPr>
          <w:ilvl w:val="0"/>
          <w:numId w:val="1"/>
        </w:numPr>
      </w:pPr>
      <w:r>
        <w:t xml:space="preserve">Ranks 2 through 6: add 1 to the count.</w:t>
      </w:r>
    </w:p>
    <w:p>
      <w:pPr>
        <w:numPr>
          <w:ilvl w:val="0"/>
          <w:numId w:val="1"/>
        </w:numPr>
      </w:pPr>
      <w:r>
        <w:t xml:space="preserve">Ranks 7 through 9: make no change to the count.</w:t>
      </w:r>
    </w:p>
    <w:p>
      <w:pPr>
        <w:numPr>
          <w:ilvl w:val="0"/>
          <w:numId w:val="1"/>
        </w:numPr>
      </w:pPr>
      <w:r>
        <w:t xml:space="preserve">Ranks 10, J, Q, K, and A: subtract 1 from the count.</w:t>
      </w:r>
    </w:p>
    <w:p>
      <w:r>
        <w:t xml:space="preserve">Return the final count after all tokens have been processed.</w:t>
      </w:r>
    </w:p>
    <w:p>
      <w:pPr>
        <w:pStyle w:val="Heading2"/>
      </w:pPr>
      <w:r>
        <w:t xml:space="preserve">Example</w:t>
      </w:r>
    </w:p>
    <w:p>
      <w:r>
        <w:t xml:space="preserve">Input: 2 10 J K</w:t>
      </w:r>
    </w:p>
    <w:p>
      <w:r>
        <w:t xml:space="preserve">Running count: 0 → 1 → 0 → −1 → −2</w:t>
      </w:r>
    </w:p>
    <w:p>
      <w:r>
        <w:t xml:space="preserve">Output: −2</w:t>
      </w:r>
    </w:p>
    <w:p>
      <w:pPr>
        <w:pStyle w:val="Heading2"/>
      </w:pPr>
      <w:r>
        <w:t xml:space="preserve">Implementation note for C++</w:t>
      </w:r>
    </w:p>
    <w:p>
      <w:r>
        <w:t xml:space="preserve">The input may contain spaces. When the full line is required, use getline rather than relying on formatted extraction with cin &gt;&gt;. Then tokenize the line, for example with istringstream. This prevents the input from being truncated at the first space.</w:t>
      </w:r>
    </w:p>
    <w:p>
      <w:pPr>
        <w:pStyle w:val="Heading1"/>
      </w:pPr>
      <w:r>
        <w:t xml:space="preserve">Programming question 2: non-empty subsequences and the reversed string</w:t>
      </w:r>
    </w:p>
    <w:p>
      <w:r>
        <w:t xml:space="preserve">The reported task supplied a numeric string and asked for the sum formed by all non-empty subsequences, followed by the corresponding result for the reversed string. The examples include 13 for the input 123, so the description is most consistent with subsequences that preserve the relative order of selected digits, rather than only contiguous substrings or conventional numeric prefixes.</w:t>
      </w:r>
    </w:p>
    <w:p>
      <w:pPr>
        <w:pStyle w:val="Heading2"/>
      </w:pPr>
      <w:r>
        <w:t xml:space="preserve">Illustrative reconstruction for input 123</w:t>
      </w:r>
    </w:p>
    <w:p>
      <w:r>
        <w:t xml:space="preserve">Non-empty subsequences: 1, 2, 3, 12, 13, 23, 123.</w:t>
      </w:r>
    </w:p>
    <w:p>
      <w:r>
        <w:t xml:space="preserve">Their sum is 177.</w:t>
      </w:r>
    </w:p>
    <w:p>
      <w:r>
        <w:t xml:space="preserve">For the reversed input 321, the subsequences are 3, 2, 1, 32, 31, 21, 321, whose sum is 411.</w:t>
      </w:r>
    </w:p>
    <w:p>
      <w:r>
        <w:t xml:space="preserve">Before implementing, confirm the exact output format and whether a delimiter, a pair of values, or another presentation is expected. The remembered wording around “prefixes” conflicts with the included examples; the examples should guide the interpretation unless the official statement says otherwise.</w:t>
      </w:r>
    </w:p>
    <w:p>
      <w:pPr>
        <w:pStyle w:val="Heading1"/>
      </w:pPr>
      <w:r>
        <w:t xml:space="preserve">Multiple-choice coverage reported</w:t>
      </w:r>
    </w:p>
    <w:p>
      <w:r>
        <w:t xml:space="preserve">Reported areas included:</w:t>
      </w:r>
    </w:p>
    <w:p>
      <w:pPr>
        <w:numPr>
          <w:ilvl w:val="0"/>
          <w:numId w:val="1"/>
        </w:numPr>
      </w:pPr>
      <w:r>
        <w:t xml:space="preserve">Computer networks, with emphasis on MAC addresses, ARP, and related fundamentals.</w:t>
      </w:r>
    </w:p>
    <w:p>
      <w:pPr>
        <w:numPr>
          <w:ilvl w:val="0"/>
          <w:numId w:val="1"/>
        </w:numPr>
      </w:pPr>
      <w:r>
        <w:t xml:space="preserve">SQL, including several questions asking which query produces a required result.</w:t>
      </w:r>
    </w:p>
    <w:p>
      <w:pPr>
        <w:numPr>
          <w:ilvl w:val="0"/>
          <w:numId w:val="1"/>
        </w:numPr>
      </w:pPr>
      <w:r>
        <w:t xml:space="preserve">Quantitative aptitude, such as interest, speed–time–distance, numerical patterns, graphs, and seating arrangements.</w:t>
      </w:r>
    </w:p>
    <w:p>
      <w:pPr>
        <w:numPr>
          <w:ilvl w:val="0"/>
          <w:numId w:val="1"/>
        </w:numPr>
      </w:pPr>
      <w:r>
        <w:t xml:space="preserve">Basic computer organization and architecture concepts.</w:t>
      </w:r>
    </w:p>
    <w:p>
      <w:pPr>
        <w:pStyle w:val="Heading1"/>
      </w:pPr>
      <w:r>
        <w:t xml:space="preserve">Platform and driver-code check</w:t>
      </w:r>
    </w:p>
    <w:p>
      <w:r>
        <w:t xml:space="preserve">The test platform was reported to have a possible driver-code issue, particularly for some C++ submissions. Candidates should inspect the provided driver code, input/output handling, function signature, and local test behavior before assuming that a failure originates in the solution. Python was reported to have passed the referenced test cases without the same issue, but this is anecdotal and may not apply to every test.</w:t>
      </w:r>
    </w:p>
    <w:p>
      <w:pPr>
        <w:pStyle w:val="Heading1"/>
      </w:pPr>
      <w:r>
        <w:t xml:space="preserve">Preparation checklist</w:t>
      </w:r>
    </w:p>
    <w:p>
      <w:pPr>
        <w:numPr>
          <w:ilvl w:val="0"/>
          <w:numId w:val="1"/>
        </w:numPr>
      </w:pPr>
      <w:r>
        <w:t xml:space="preserve">Practice parsing full-line, space-separated input in the language you plan to use.</w:t>
      </w:r>
    </w:p>
    <w:p>
      <w:pPr>
        <w:numPr>
          <w:ilvl w:val="0"/>
          <w:numId w:val="1"/>
        </w:numPr>
      </w:pPr>
      <w:r>
        <w:t xml:space="preserve">Review string manipulation, tokenization, and small simulation problems.</w:t>
      </w:r>
    </w:p>
    <w:p>
      <w:pPr>
        <w:numPr>
          <w:ilvl w:val="0"/>
          <w:numId w:val="1"/>
        </w:numPr>
      </w:pPr>
      <w:r>
        <w:t xml:space="preserve">Revise ARP, MAC addressing, foundational SQL queries, aptitude topics, and introductory COA concepts.</w:t>
      </w:r>
    </w:p>
    <w:p>
      <w:pPr>
        <w:numPr>
          <w:ilvl w:val="0"/>
          <w:numId w:val="1"/>
        </w:numPr>
      </w:pPr>
      <w:r>
        <w:t xml:space="preserve">Read the supplied driver code and required input/output format before starting the solution.</w:t>
      </w:r>
    </w:p>
    <w:p>
      <w:pPr>
        <w:numPr>
          <w:ilvl w:val="0"/>
          <w:numId w:val="1"/>
        </w:numPr>
      </w:pPr>
      <w:r>
        <w:t xml:space="preserve">Use sample cases to validate both the logic and the platform integration.</w:t>
      </w:r>
    </w:p>
    <w:p>
      <w:pPr>
        <w:pStyle w:val="Heading1"/>
      </w:pPr>
      <w:r>
        <w:t xml:space="preserve">Source note</w:t>
      </w:r>
    </w:p>
    <w:p>
      <w:r>
        <w:t xml:space="preserve">Prepared from an informal peer-shared account dated 3 September 2026. The material has been rewritten for clarity and does not reproduce the original messages verbatim.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style>
  <w:style w:type="paragraph" w:styleId="Title">
    <w:name w:val="Title"/>
    <w:rPr>
      <w:b/>
      <w:sz w:val="36"/>
      <w:color w:val="17365D"/>
    </w:rPr>
  </w:style>
  <w:style w:type="paragraph" w:styleId="Subtitle">
    <w:name w:val="Subtitle"/>
    <w:rPr>
      <w:i/>
      <w:sz w:val="24"/>
      <w:color w:val="666666"/>
    </w:rPr>
  </w:style>
  <w:style w:type="paragraph" w:styleId="Heading1">
    <w:name w:val="heading 1"/>
    <w:rPr>
      <w:b/>
      <w:sz w:val="28"/>
      <w:color w:val="17365D"/>
    </w:rPr>
  </w:style>
  <w:style w:type="paragraph" w:styleId="Heading2">
    <w:name w:val="heading 2"/>
    <w:rPr>
      <w:b/>
      <w:sz w:val="24"/>
      <w:color w:val="2F559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