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Georgia" w:cs="Georgia" w:eastAsia="Georgia" w:hAnsi="Georgia"/>
          <w:b w:val="1"/>
        </w:rPr>
      </w:pPr>
      <w:bookmarkStart w:colFirst="0" w:colLast="0" w:name="_18zaxy0wr63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Talento Tech2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Georgia" w:cs="Georgia" w:eastAsia="Georgia" w:hAnsi="Georgia"/>
          <w:b w:val="1"/>
          <w:sz w:val="42"/>
          <w:szCs w:val="42"/>
        </w:rPr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42"/>
          <w:szCs w:val="42"/>
          <w:rtl w:val="0"/>
        </w:rPr>
        <w:t xml:space="preserve">Programación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center"/>
        <w:rPr/>
      </w:pPr>
      <w:bookmarkStart w:colFirst="0" w:colLast="0" w:name="_r33m2zwacua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jc w:val="center"/>
        <w:rPr/>
      </w:pPr>
      <w:bookmarkStart w:colFirst="0" w:colLast="0" w:name="_q3opaxp85ka7" w:id="2"/>
      <w:bookmarkEnd w:id="2"/>
      <w:r w:rsidDel="00000000" w:rsidR="00000000" w:rsidRPr="00000000">
        <w:rPr>
          <w:rtl w:val="0"/>
        </w:rPr>
        <w:t xml:space="preserve">Cesar Felipe henao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jc w:val="center"/>
        <w:rPr>
          <w:i w:val="1"/>
        </w:rPr>
      </w:pPr>
      <w:bookmarkStart w:colFirst="0" w:colLast="0" w:name="_ozzni4s79l29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Jose Luis Acevedo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center"/>
        <w:rPr>
          <w:sz w:val="40"/>
          <w:szCs w:val="40"/>
        </w:rPr>
      </w:pPr>
      <w:bookmarkStart w:colFirst="0" w:colLast="0" w:name="_dca54dmwfxey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Energía Renovable.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Estudiante: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Georgia" w:cs="Georgia" w:eastAsia="Georgia" w:hAnsi="Georgia"/>
          <w:i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i w:val="1"/>
          <w:sz w:val="40"/>
          <w:szCs w:val="40"/>
          <w:rtl w:val="0"/>
        </w:rPr>
        <w:t xml:space="preserve">Linda Katrim Córdoba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i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Fecha: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i w:val="1"/>
          <w:sz w:val="40"/>
          <w:szCs w:val="40"/>
          <w:rtl w:val="0"/>
        </w:rPr>
        <w:t xml:space="preserve">06 de julio 2025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Planteamiento  del problema: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Colombia enfrenta desafíos estructurales en su transición hacia un sistema energético más justo y sostenible. Por un lado, persiste el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trilema energético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garantizar el acceso universal, mantener un suministro confiable y asequible, y reducir el impacto ambiental. Este reto se agrava en regiones rurales y marginadas, donde millones de personas aún no cuentan con energía confiable.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Por otro lado,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 existen herramientas accesibles que permitan a comunidades y gobiernos locales evaluar su situación energética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, identificar brechas de equidad y tomar decisiones basadas en datos reales. Las barreras normativas, financieras y técnicas también dificultan el desarrollo de energías renovables no convencionales, como la solar, eólica o biomasa, a pesar de su alto potencial.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 conjunto, estas limitaciones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restringen una transición energética justa, inclusiva y territorialmente equitativa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, especialmente para las comunidades más vulnerables del país.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Objetivo general: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Desarrollar una aplicación web interactiva que proporcione información clara y actualizada sobre el uso, el potencial y los desafíos de las energías limpias en Colombia, fomentando la conciencia pública y el apoyo a la transición energética.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Objetivo principal: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informar sobre la situación actual de la matriz energética en Colombia, resaltando la dependencia de fuentes tradicionales.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Visualizar el potencial de las energías renovables no convencionales (ERNC) y su aplicación en diferentes regiones del país.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Educar y sensibilizar sobre los retos regulatorios, financieros y técnicos en la implementación de estas tecnologías sostenibles.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center"/>
        <w:rPr>
          <w:rFonts w:ascii="Georgia" w:cs="Georgia" w:eastAsia="Georgia" w:hAnsi="Georgia"/>
          <w:i w:val="1"/>
        </w:rPr>
      </w:pPr>
      <w:bookmarkStart w:colFirst="0" w:colLast="0" w:name="_nlnf7dy8n4mo" w:id="5"/>
      <w:bookmarkEnd w:id="5"/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Estructura de la Página Web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</w:rPr>
      </w:pPr>
      <w:bookmarkStart w:colFirst="0" w:colLast="0" w:name="_7eslw46spu70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Nombre del sitio web: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Energía Limpia en Colombia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color w:val="000000"/>
          <w:sz w:val="22"/>
          <w:szCs w:val="22"/>
        </w:rPr>
      </w:pPr>
      <w:bookmarkStart w:colFirst="0" w:colLast="0" w:name="_unctegvc27az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Menú de Navegación: </w:t>
      </w: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rtl w:val="0"/>
        </w:rPr>
        <w:t xml:space="preserve">Breve introducción al trilema energético y propósito del sitio.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Situación Actual: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Información sobre la matriz energética de Colombia. Dependencia de hidroeléctricas y fuentes térmicas.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Energías Renovables:</w:t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Subsecciones: Solar, Eólica, Geotérmica, Biomasa.</w:t>
        <w:br w:type="textWrapping"/>
        <w:t xml:space="preserve">Proyectos actuales y potencial de expansión.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Retos y Oportunidades: </w:t>
      </w:r>
      <w:r w:rsidDel="00000000" w:rsidR="00000000" w:rsidRPr="00000000">
        <w:rPr>
          <w:rtl w:val="0"/>
        </w:rPr>
        <w:t xml:space="preserve">Información sobre política energética, barreras regulatorias y financieras. Recomendaciones de OCDE y DNP.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Noticias y Recursos: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Informes oficiales, enlaces, infografías, documentos académicos.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Contacto / Participa: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Formulario para sugerencias, redes sociales, encuestas.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Ejemplos de lo que podría ser la página web: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https://erco.energy/co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jc w:val="center"/>
        <w:rPr>
          <w:rFonts w:ascii="Georgia" w:cs="Georgia" w:eastAsia="Georgia" w:hAnsi="Georgia"/>
          <w:i w:val="1"/>
          <w:color w:val="000000"/>
          <w:sz w:val="40"/>
          <w:szCs w:val="40"/>
        </w:rPr>
      </w:pPr>
      <w:bookmarkStart w:colFirst="0" w:colLast="0" w:name="_3nrrk7q9crdh" w:id="8"/>
      <w:bookmarkEnd w:id="8"/>
      <w:r w:rsidDel="00000000" w:rsidR="00000000" w:rsidRPr="00000000">
        <w:rPr>
          <w:rFonts w:ascii="Georgia" w:cs="Georgia" w:eastAsia="Georgia" w:hAnsi="Georgia"/>
          <w:i w:val="1"/>
          <w:color w:val="000000"/>
          <w:sz w:val="40"/>
          <w:szCs w:val="40"/>
          <w:rtl w:val="0"/>
        </w:rPr>
        <w:t xml:space="preserve">Gráficos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Gráfico de pastel: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Distribución de la capacidad instalada por fuente de energía.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de líneas: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Evolución histórica y proyectada de la capacidad de ERNC </w:t>
      </w:r>
      <w:r w:rsidDel="00000000" w:rsidR="00000000" w:rsidRPr="00000000">
        <w:rPr>
          <w:rtl w:val="0"/>
        </w:rPr>
        <w:t xml:space="preserve">(2000–2030)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Mapa interactivo: </w:t>
      </w:r>
      <w:r w:rsidDel="00000000" w:rsidR="00000000" w:rsidRPr="00000000">
        <w:rPr>
          <w:rtl w:val="0"/>
        </w:rPr>
        <w:t xml:space="preserve"> Potencial de generación solar y eólica en regiones como La Guajira, Valle del Cauca, Meta, etc.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de barras: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Comparativa de emisiones de GEI por sector energético (2021 vs. proyección 2050)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Gráficos donde hacerlas: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https://plotly.com/javascript/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5575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https://www.chartjs.org/docs/latest/samples/bar/border-radius.html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4.4.9 versión.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jc w:val="center"/>
        <w:rPr>
          <w:rFonts w:ascii="Georgia" w:cs="Georgia" w:eastAsia="Georgia" w:hAnsi="Georgia"/>
          <w:i w:val="1"/>
          <w:sz w:val="38"/>
          <w:szCs w:val="38"/>
        </w:rPr>
      </w:pPr>
      <w:bookmarkStart w:colFirst="0" w:colLast="0" w:name="_r0ths02txijm" w:id="9"/>
      <w:bookmarkEnd w:id="9"/>
      <w:r w:rsidDel="00000000" w:rsidR="00000000" w:rsidRPr="00000000">
        <w:rPr>
          <w:rFonts w:ascii="Georgia" w:cs="Georgia" w:eastAsia="Georgia" w:hAnsi="Georgia"/>
          <w:i w:val="1"/>
          <w:sz w:val="38"/>
          <w:szCs w:val="38"/>
          <w:rtl w:val="0"/>
        </w:rPr>
        <w:t xml:space="preserve">Fuentes Principales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Departamento Nacional de Planeación (DNP)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OCDE - Informe sobre bioenergía en Colombia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dataset:</w:t>
      </w:r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https://lowcarbonpower.org/es/region/Colombia?utm_source=chatgpt.com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n5wvwa0wew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ecd.org/es/publications/condiciones-propicias-para-el-financiamiento-y-la-inversion-en-bioenergia-en-colombia_e5c91d04-es.html" TargetMode="External"/><Relationship Id="rId10" Type="http://schemas.openxmlformats.org/officeDocument/2006/relationships/hyperlink" Target="https://www.dnp.gov.co/publicaciones/Planeacion/Paginas/energia-renovable-en-colombia-resolver-el-trilema-energetico.aspx" TargetMode="External"/><Relationship Id="rId12" Type="http://schemas.openxmlformats.org/officeDocument/2006/relationships/hyperlink" Target="https://lowcarbonpower.org/es/region/Colombia?utm_source=chatgpt.com" TargetMode="External"/><Relationship Id="rId9" Type="http://schemas.openxmlformats.org/officeDocument/2006/relationships/hyperlink" Target="https://www.chartjs.org/docs/latest/samples/bar/border-radiu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erco.energy/co" TargetMode="External"/><Relationship Id="rId7" Type="http://schemas.openxmlformats.org/officeDocument/2006/relationships/hyperlink" Target="https://plotly.com/javascrip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