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60B2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MARKET SENTIMENT VS TRADER BEHAVIOR ANALYSIS</w:t>
      </w:r>
    </w:p>
    <w:p w14:paraId="696B6D55">
      <w:pPr>
        <w:rPr>
          <w:rFonts w:hint="default" w:ascii="Times New Roman" w:hAnsi="Times New Roman" w:cs="Times New Roman"/>
          <w:sz w:val="32"/>
          <w:szCs w:val="32"/>
        </w:rPr>
      </w:pPr>
    </w:p>
    <w:p w14:paraId="753976F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METHODOLOGY</w:t>
      </w:r>
    </w:p>
    <w:p w14:paraId="016802F4">
      <w:pPr>
        <w:rPr>
          <w:rFonts w:hint="default" w:ascii="Times New Roman" w:hAnsi="Times New Roman" w:cs="Times New Roman"/>
          <w:sz w:val="32"/>
          <w:szCs w:val="32"/>
        </w:rPr>
      </w:pPr>
    </w:p>
    <w:p w14:paraId="2F77CC5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analysis explores the relationship between cryptocurrency market sentiment and trader performance using two datasets:</w:t>
      </w:r>
    </w:p>
    <w:p w14:paraId="351AE497">
      <w:pPr>
        <w:rPr>
          <w:rFonts w:hint="default" w:ascii="Times New Roman" w:hAnsi="Times New Roman" w:cs="Times New Roman"/>
          <w:sz w:val="32"/>
          <w:szCs w:val="32"/>
        </w:rPr>
      </w:pPr>
    </w:p>
    <w:p w14:paraId="11D71D4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• Fear &amp; Greed Index dataset</w:t>
      </w:r>
    </w:p>
    <w:p w14:paraId="3BF7145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• Historical trading dataset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-</w:t>
      </w:r>
      <w:r>
        <w:rPr>
          <w:rFonts w:hint="default" w:ascii="Times New Roman" w:hAnsi="Times New Roman" w:cs="Times New Roman"/>
          <w:sz w:val="32"/>
          <w:szCs w:val="32"/>
        </w:rPr>
        <w:t xml:space="preserve"> containing trade-level records such as account ID, position size, trade direction, and closed profit/loss (PnL).</w:t>
      </w:r>
    </w:p>
    <w:p w14:paraId="50D6E5C9">
      <w:pPr>
        <w:rPr>
          <w:rFonts w:hint="default" w:ascii="Times New Roman" w:hAnsi="Times New Roman" w:cs="Times New Roman"/>
          <w:sz w:val="32"/>
          <w:szCs w:val="32"/>
        </w:rPr>
      </w:pPr>
    </w:p>
    <w:p w14:paraId="1CAEBB63">
      <w:pPr>
        <w:numPr>
          <w:numId w:val="0"/>
        </w:numPr>
        <w:ind w:left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datasets were cleaned by:</w:t>
      </w:r>
    </w:p>
    <w:p w14:paraId="7028DED1">
      <w:pPr>
        <w:numPr>
          <w:ilvl w:val="0"/>
          <w:numId w:val="1"/>
        </w:numPr>
        <w:ind w:left="825" w:leftChars="0" w:hanging="425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Understanding datasets and preprocessing it</w:t>
      </w:r>
    </w:p>
    <w:p w14:paraId="7902CC3F">
      <w:pPr>
        <w:numPr>
          <w:ilvl w:val="0"/>
          <w:numId w:val="1"/>
        </w:numPr>
        <w:ind w:left="8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Converting timestamps into a standard datetime format.</w:t>
      </w:r>
    </w:p>
    <w:p w14:paraId="41B28CAB">
      <w:pPr>
        <w:numPr>
          <w:ilvl w:val="0"/>
          <w:numId w:val="1"/>
        </w:numPr>
        <w:ind w:left="8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Extracting trading dates from timestamps.</w:t>
      </w:r>
    </w:p>
    <w:p w14:paraId="5D73EC01">
      <w:pPr>
        <w:numPr>
          <w:ilvl w:val="0"/>
          <w:numId w:val="1"/>
        </w:numPr>
        <w:ind w:left="825" w:leftChars="0" w:hanging="425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Merging trading data with sentiment data using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date</w:t>
      </w:r>
      <w:r>
        <w:rPr>
          <w:rFonts w:hint="default" w:ascii="Times New Roman" w:hAnsi="Times New Roman" w:cs="Times New Roman"/>
          <w:sz w:val="32"/>
          <w:szCs w:val="32"/>
        </w:rPr>
        <w:t>field.</w:t>
      </w:r>
    </w:p>
    <w:p w14:paraId="41F5CE1A">
      <w:pPr>
        <w:rPr>
          <w:rFonts w:hint="default" w:ascii="Times New Roman" w:hAnsi="Times New Roman" w:cs="Times New Roman"/>
          <w:sz w:val="32"/>
          <w:szCs w:val="32"/>
        </w:rPr>
      </w:pPr>
    </w:p>
    <w:p w14:paraId="3B29746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This allowed each trade to be associated with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market sentiment of that day</w:t>
      </w:r>
    </w:p>
    <w:p w14:paraId="6E91F781">
      <w:pPr>
        <w:rPr>
          <w:rFonts w:hint="default" w:ascii="Times New Roman" w:hAnsi="Times New Roman" w:cs="Times New Roman"/>
          <w:sz w:val="32"/>
          <w:szCs w:val="32"/>
        </w:rPr>
      </w:pPr>
    </w:p>
    <w:p w14:paraId="7AEEC00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following metrics were analyzed:</w:t>
      </w:r>
    </w:p>
    <w:p w14:paraId="56E1D024">
      <w:pPr>
        <w:rPr>
          <w:rFonts w:hint="default" w:ascii="Times New Roman" w:hAnsi="Times New Roman" w:cs="Times New Roman"/>
          <w:sz w:val="32"/>
          <w:szCs w:val="32"/>
        </w:rPr>
      </w:pPr>
    </w:p>
    <w:p w14:paraId="1AD01674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Average PnL by sentiment category</w:t>
      </w:r>
    </w:p>
    <w:p w14:paraId="2AA291F3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Win rate across sentiment conditions</w:t>
      </w:r>
    </w:p>
    <w:p w14:paraId="3D44853D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Trade frequency per sentiment</w:t>
      </w:r>
    </w:p>
    <w:p w14:paraId="19129FC7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Average position size</w:t>
      </w:r>
    </w:p>
    <w:p w14:paraId="6813A4A4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Long vs short position ratios</w:t>
      </w:r>
    </w:p>
    <w:p w14:paraId="3C937937">
      <w:pPr>
        <w:numPr>
          <w:ilvl w:val="0"/>
          <w:numId w:val="2"/>
        </w:numPr>
        <w:ind w:left="8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Trader segmentation</w:t>
      </w:r>
    </w:p>
    <w:p w14:paraId="183F3A3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t>- Frequent vs Infrequent traders</w:t>
      </w:r>
    </w:p>
    <w:p w14:paraId="0AC62F8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 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- Consistent winners vs Inconsistent traders</w:t>
      </w:r>
    </w:p>
    <w:p w14:paraId="2F2C6118">
      <w:pPr>
        <w:rPr>
          <w:rFonts w:hint="default" w:ascii="Times New Roman" w:hAnsi="Times New Roman" w:cs="Times New Roman"/>
          <w:sz w:val="32"/>
          <w:szCs w:val="32"/>
        </w:rPr>
      </w:pPr>
    </w:p>
    <w:p w14:paraId="5EDF224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Visualizations such as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boxplots, bar charts, and line plots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were used to identify patterns in trader performance and behavior.</w:t>
      </w:r>
    </w:p>
    <w:p w14:paraId="6BD2C168">
      <w:pPr>
        <w:rPr>
          <w:rFonts w:hint="default" w:ascii="Times New Roman" w:hAnsi="Times New Roman" w:cs="Times New Roman"/>
          <w:sz w:val="32"/>
          <w:szCs w:val="32"/>
        </w:rPr>
      </w:pPr>
    </w:p>
    <w:p w14:paraId="598EE7F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---</w:t>
      </w:r>
    </w:p>
    <w:p w14:paraId="1138150C">
      <w:pPr>
        <w:rPr>
          <w:rFonts w:hint="default" w:ascii="Times New Roman" w:hAnsi="Times New Roman" w:cs="Times New Roman"/>
          <w:sz w:val="32"/>
          <w:szCs w:val="32"/>
        </w:rPr>
      </w:pPr>
    </w:p>
    <w:p w14:paraId="76B04B6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2. KEY INSIGHTS</w:t>
      </w:r>
    </w:p>
    <w:p w14:paraId="0522A23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2.1 Profitability varies across market sentiment</w:t>
      </w:r>
    </w:p>
    <w:p w14:paraId="37B292F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Extreme Greed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 xml:space="preserve">conditions produce the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highest average profits</w:t>
      </w:r>
      <w:r>
        <w:rPr>
          <w:rFonts w:hint="default" w:ascii="Times New Roman" w:hAnsi="Times New Roman" w:cs="Times New Roman"/>
          <w:sz w:val="32"/>
          <w:szCs w:val="32"/>
        </w:rPr>
        <w:t xml:space="preserve">, while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Extreme Fear</w:t>
      </w:r>
      <w:r>
        <w:rPr>
          <w:rFonts w:hint="default" w:ascii="Times New Roman" w:hAnsi="Times New Roman" w:cs="Times New Roman"/>
          <w:sz w:val="32"/>
          <w:szCs w:val="32"/>
        </w:rPr>
        <w:t xml:space="preserve"> periods show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larger average losses</w:t>
      </w:r>
      <w:r>
        <w:rPr>
          <w:rFonts w:hint="default" w:ascii="Times New Roman" w:hAnsi="Times New Roman" w:cs="Times New Roman"/>
          <w:sz w:val="32"/>
          <w:szCs w:val="32"/>
        </w:rPr>
        <w:t xml:space="preserve">.  </w:t>
      </w:r>
    </w:p>
    <w:p w14:paraId="36F0315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indicates higher risk during panic-driven markets.</w:t>
      </w:r>
    </w:p>
    <w:p w14:paraId="4F67B197">
      <w:pPr>
        <w:rPr>
          <w:rFonts w:hint="default" w:ascii="Times New Roman" w:hAnsi="Times New Roman" w:cs="Times New Roman"/>
          <w:sz w:val="32"/>
          <w:szCs w:val="32"/>
        </w:rPr>
      </w:pPr>
    </w:p>
    <w:p w14:paraId="5B95719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2.2 Traders become more active during Fear periods</w:t>
      </w:r>
    </w:p>
    <w:p w14:paraId="11E0FCA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Trade frequency is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highest during Fear conditions</w:t>
      </w:r>
      <w:r>
        <w:rPr>
          <w:rFonts w:hint="default" w:ascii="Times New Roman" w:hAnsi="Times New Roman" w:cs="Times New Roman"/>
          <w:sz w:val="32"/>
          <w:szCs w:val="32"/>
        </w:rPr>
        <w:t>, suggesting traders attempt to capitalize on increased volatility and potential market rebounds.</w:t>
      </w:r>
    </w:p>
    <w:p w14:paraId="5D9F64DF">
      <w:pPr>
        <w:rPr>
          <w:rFonts w:hint="default" w:ascii="Times New Roman" w:hAnsi="Times New Roman" w:cs="Times New Roman"/>
          <w:sz w:val="32"/>
          <w:szCs w:val="32"/>
        </w:rPr>
      </w:pPr>
    </w:p>
    <w:p w14:paraId="0C7F53A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2.3 Trading direction changes with sentiment</w:t>
      </w:r>
    </w:p>
    <w:p w14:paraId="57C2725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Traders tend to:</w:t>
      </w:r>
    </w:p>
    <w:p w14:paraId="5B274F31">
      <w:pPr>
        <w:rPr>
          <w:rFonts w:hint="default" w:ascii="Times New Roman" w:hAnsi="Times New Roman" w:cs="Times New Roman"/>
          <w:sz w:val="32"/>
          <w:szCs w:val="32"/>
        </w:rPr>
      </w:pPr>
    </w:p>
    <w:p w14:paraId="5F4C4E9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• Open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more long positions during Fear and Neutral markets</w:t>
      </w:r>
    </w:p>
    <w:p w14:paraId="1075B81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• Open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more short positions during Greed and Extreme Greed markets</w:t>
      </w:r>
    </w:p>
    <w:p w14:paraId="1BBFBCF9">
      <w:pPr>
        <w:rPr>
          <w:rFonts w:hint="default" w:ascii="Times New Roman" w:hAnsi="Times New Roman" w:cs="Times New Roman"/>
          <w:sz w:val="32"/>
          <w:szCs w:val="32"/>
        </w:rPr>
      </w:pPr>
    </w:p>
    <w:p w14:paraId="6B45400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This shows traders adjust strategies based on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market psychology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42A726C9">
      <w:pPr>
        <w:rPr>
          <w:rFonts w:hint="default" w:ascii="Times New Roman" w:hAnsi="Times New Roman" w:cs="Times New Roman"/>
          <w:sz w:val="32"/>
          <w:szCs w:val="32"/>
        </w:rPr>
      </w:pPr>
    </w:p>
    <w:p w14:paraId="7287F48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2.4 Trading activity level impacts profitability</w:t>
      </w:r>
    </w:p>
    <w:p w14:paraId="5A40C1A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Infrequent traders show higher average PnL than frequent traders</w:t>
      </w:r>
      <w:r>
        <w:rPr>
          <w:rFonts w:hint="default" w:ascii="Times New Roman" w:hAnsi="Times New Roman" w:cs="Times New Roman"/>
          <w:sz w:val="32"/>
          <w:szCs w:val="32"/>
        </w:rPr>
        <w:t>, suggesting that excessive trading may reduce profitability due to overtrading or transaction costs.</w:t>
      </w:r>
    </w:p>
    <w:p w14:paraId="453E546A">
      <w:pPr>
        <w:rPr>
          <w:rFonts w:hint="default" w:ascii="Times New Roman" w:hAnsi="Times New Roman" w:cs="Times New Roman"/>
          <w:sz w:val="32"/>
          <w:szCs w:val="32"/>
        </w:rPr>
      </w:pPr>
    </w:p>
    <w:p w14:paraId="5BF1465F">
      <w:pPr>
        <w:rPr>
          <w:rFonts w:hint="default" w:ascii="Times New Roman" w:hAnsi="Times New Roman" w:cs="Times New Roman"/>
          <w:sz w:val="32"/>
          <w:szCs w:val="32"/>
        </w:rPr>
      </w:pPr>
    </w:p>
    <w:p w14:paraId="1168640A">
      <w:pPr>
        <w:rPr>
          <w:rFonts w:hint="default" w:ascii="Times New Roman" w:hAnsi="Times New Roman" w:cs="Times New Roman"/>
          <w:sz w:val="32"/>
          <w:szCs w:val="32"/>
        </w:rPr>
      </w:pPr>
    </w:p>
    <w:p w14:paraId="36DA6D7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 STRATEGY RECOMMENDATIONS</w:t>
      </w:r>
    </w:p>
    <w:p w14:paraId="136BD5CA">
      <w:pPr>
        <w:rPr>
          <w:rFonts w:hint="default" w:ascii="Times New Roman" w:hAnsi="Times New Roman" w:cs="Times New Roman"/>
          <w:sz w:val="32"/>
          <w:szCs w:val="32"/>
        </w:rPr>
      </w:pPr>
    </w:p>
    <w:p w14:paraId="5E1E774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3.1 Strategy 1 — Reduce Risk During Extreme Fear</w:t>
      </w:r>
    </w:p>
    <w:p w14:paraId="7D17C8E2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Because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Extreme Fear periods produce the largest losses</w:t>
      </w:r>
      <w:r>
        <w:rPr>
          <w:rFonts w:hint="default" w:ascii="Times New Roman" w:hAnsi="Times New Roman" w:cs="Times New Roman"/>
          <w:sz w:val="32"/>
          <w:szCs w:val="32"/>
        </w:rPr>
        <w:t>, traders should:</w:t>
      </w:r>
    </w:p>
    <w:p w14:paraId="34FA0926">
      <w:pPr>
        <w:rPr>
          <w:rFonts w:hint="default" w:ascii="Times New Roman" w:hAnsi="Times New Roman" w:cs="Times New Roman"/>
          <w:sz w:val="32"/>
          <w:szCs w:val="32"/>
        </w:rPr>
      </w:pPr>
    </w:p>
    <w:p w14:paraId="514BAB2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Reduce position size</w:t>
      </w:r>
    </w:p>
    <w:p w14:paraId="7C84DFE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Avoid aggressive leverage</w:t>
      </w:r>
    </w:p>
    <w:p w14:paraId="1A99D0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Focus on high-confidence trades</w:t>
      </w:r>
    </w:p>
    <w:p w14:paraId="692E409D">
      <w:pPr>
        <w:rPr>
          <w:rFonts w:hint="default" w:ascii="Times New Roman" w:hAnsi="Times New Roman" w:cs="Times New Roman"/>
          <w:sz w:val="32"/>
          <w:szCs w:val="32"/>
        </w:rPr>
      </w:pPr>
    </w:p>
    <w:p w14:paraId="5CF82B0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helps reduce downside risk during panic-driven markets.</w:t>
      </w:r>
    </w:p>
    <w:p w14:paraId="49857C61">
      <w:pPr>
        <w:rPr>
          <w:rFonts w:hint="default" w:ascii="Times New Roman" w:hAnsi="Times New Roman" w:cs="Times New Roman"/>
          <w:sz w:val="32"/>
          <w:szCs w:val="32"/>
        </w:rPr>
      </w:pPr>
    </w:p>
    <w:p w14:paraId="78BF3D4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3.2 Strategy 2 — Momentum Trading During Greed</w:t>
      </w:r>
    </w:p>
    <w:p w14:paraId="0FED32D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During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Greed and Extreme Greed conditions</w:t>
      </w:r>
      <w:r>
        <w:rPr>
          <w:rFonts w:hint="default" w:ascii="Times New Roman" w:hAnsi="Times New Roman" w:cs="Times New Roman"/>
          <w:sz w:val="32"/>
          <w:szCs w:val="32"/>
        </w:rPr>
        <w:t>, traders may benefit from momentum strategies:</w:t>
      </w:r>
    </w:p>
    <w:p w14:paraId="557DAC2B">
      <w:pPr>
        <w:rPr>
          <w:rFonts w:hint="default" w:ascii="Times New Roman" w:hAnsi="Times New Roman" w:cs="Times New Roman"/>
          <w:sz w:val="32"/>
          <w:szCs w:val="32"/>
        </w:rPr>
      </w:pPr>
    </w:p>
    <w:p w14:paraId="4E3FB4F1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Slightly increase trade frequency</w:t>
      </w:r>
    </w:p>
    <w:p w14:paraId="6F4F37B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Follow strong market trends</w:t>
      </w:r>
    </w:p>
    <w:p w14:paraId="1C54A92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Look for short opportunities when markets appear overextended</w:t>
      </w:r>
    </w:p>
    <w:p w14:paraId="2B694D4E">
      <w:pPr>
        <w:rPr>
          <w:rFonts w:hint="default" w:ascii="Times New Roman" w:hAnsi="Times New Roman" w:cs="Times New Roman"/>
          <w:sz w:val="32"/>
          <w:szCs w:val="32"/>
        </w:rPr>
      </w:pPr>
    </w:p>
    <w:p w14:paraId="122098A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These rules help traders capitalize on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trend continuation during optimistic markets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47DA2789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108EB"/>
    <w:multiLevelType w:val="singleLevel"/>
    <w:tmpl w:val="BAF108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FA0FD8EF"/>
    <w:multiLevelType w:val="singleLevel"/>
    <w:tmpl w:val="FA0FD8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8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6A650D"/>
    <w:rsid w:val="2A6A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2026-03-14T06:44:00Z</dcterms:created>
  <dc:creator>Yamini</dc:creator>
  <cp:lastModifiedBy>Yamini</cp:lastModifiedBy>
  <dcterms:modified xsi:type="dcterms:W3CDTF">2026-03-14T06:52:20Z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76FEA1D3060C4B4489FAE2125DD4C21F_11</vt:lpwstr>
  </property>
</Properties>
</file>