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Stundenentwurf: Ist √2 ein Bruch? – Irrationale Zahlen</w:t>
      </w:r>
    </w:p>
    <w:p>
      <w:pPr>
        <w:pBdr>
          <w:bottom w:val="single" w:sz="8" w:space="4" w:color="000000"/>
        </w:pBdr>
      </w:pPr>
      <w:r>
        <w:rPr>
          <w:i/>
          <w:sz w:val="24"/>
        </w:rPr>
        <w:t>Reihe „Wurzeln“, Stunde 11 · Mittwoch, 07.10.2026 · 45 Minuten · Klasse 9 (31 SuS)</w:t>
      </w:r>
    </w:p>
    <w:p>
      <w:pPr>
        <w:pStyle w:val="Heading3"/>
      </w:pPr>
      <w:r>
        <w:t>Einordnung in die Reihe</w:t>
      </w:r>
    </w:p>
    <w:p>
      <w:pPr>
        <w:spacing w:after="80"/>
      </w:pPr>
      <w:r>
        <w:t>Die SuS können Quadratwurzeln berechnen, sie mit Intervallschachtelung und Heron-Verfahren näherungsweise bestimmen und die Wurzelgesetze anwenden. Dabei sind sie immer wieder auf Wurzeln gestoßen, deren Dezimaldarstellung „nicht aufhört“. Diese Stunde klärt, warum das so ist, und führt den Begriff der irrationalen Zahl ein. In der Folgestunde (Do 08.10.) werden die Zahlbereiche zu ℝ erweitert und das Radizieren als Umkehrung des Potenzierens verallgemeinert.</w:t>
      </w:r>
    </w:p>
    <w:p>
      <w:pPr>
        <w:pStyle w:val="Heading3"/>
      </w:pPr>
      <w:r>
        <w:t>Kompetenzen</w:t>
      </w:r>
    </w:p>
    <w:p>
      <w:pPr>
        <w:spacing w:after="80"/>
      </w:pPr>
      <w:r>
        <w:rPr>
          <w:b/>
        </w:rPr>
        <w:t>Kernanliegen</w:t>
      </w:r>
      <w:r>
        <w:t>: Die SuS unterscheiden rationale und irrationale Zahlen und geben Beispiele für irrationale Zahlen an, indem sie an √2 begründen, dass sich diese Zahl nicht als Bruch schreiben lässt.</w:t>
      </w:r>
    </w:p>
    <w:p>
      <w:pPr>
        <w:pStyle w:val="ListBullet"/>
      </w:pPr>
      <w:r>
        <w:rPr>
          <w:b/>
        </w:rPr>
        <w:t>Inhaltsbezogen</w:t>
      </w:r>
      <w:r>
        <w:t>: Arithmetik/Algebra (2) – unterscheiden rationale und irrationale Zahlen und geben Beispiele an.</w:t>
      </w:r>
    </w:p>
    <w:p>
      <w:pPr>
        <w:pStyle w:val="ListBullet"/>
      </w:pPr>
      <w:r>
        <w:rPr>
          <w:b/>
        </w:rPr>
        <w:t>Prozessbezogen</w:t>
      </w:r>
      <w:r>
        <w:t>: Arg-2 (Beispiele für vermutete Zusammenhänge benennen), Arg-7 (Argumentationsstrategie Widerspruch, ★★/★★★), Kom-3 (Begriffsinhalte erläutern).</w:t>
      </w:r>
    </w:p>
    <w:p>
      <w:pPr>
        <w:pStyle w:val="ListBullet"/>
      </w:pPr>
      <w:r>
        <w:rPr>
          <w:b/>
        </w:rPr>
        <w:t>Teilziele</w:t>
      </w:r>
      <w:r>
        <w:t>: Die SuS … (1) prüfen durch Quadrieren, dass Näherungsbrüche nicht genau 2 ergeben; (2) vollziehen das Endziffern-Argument nach (★★) bzw. übertragen es auf √3 (★★★); (3) ordnen Zahlen begründet als rational oder irrational ein.</w:t>
      </w:r>
    </w:p>
    <w:p>
      <w:pPr>
        <w:pStyle w:val="Heading3"/>
      </w:pPr>
      <w:r>
        <w:t>Didaktisch-methodischer Kommentar</w:t>
      </w:r>
    </w:p>
    <w:p>
      <w:pPr>
        <w:pStyle w:val="ListBullet"/>
      </w:pPr>
      <w:r>
        <w:rPr>
          <w:b/>
        </w:rPr>
        <w:t>Einstieg mit kognitivem Konflikt</w:t>
      </w:r>
      <w:r>
        <w:t>: Der Taschenrechner zeigt für √2 eine abbrechende Zahl, zwei Schüleraussagen behaupten einen exakten Wert. Das Nachprüfen durch Quadrieren widerlegt beide und erzeugt die Stundenfrage.</w:t>
      </w:r>
    </w:p>
    <w:p>
      <w:pPr>
        <w:pStyle w:val="ListBullet"/>
      </w:pPr>
      <w:r>
        <w:rPr>
          <w:b/>
        </w:rPr>
        <w:t>Endziffern-Argument statt klassischem Paritätsbeweis</w:t>
      </w:r>
      <w:r>
        <w:t>: Es kommt ohne „gerade/ungerade“-Kette aus, ist mit einer Tabelle handlungsorientiert und für die Breite der Lerngruppe nachvollziehbar. Der klassische Beweis kann als Expertenaufgabe angeboten werden.</w:t>
      </w:r>
    </w:p>
    <w:p>
      <w:pPr>
        <w:pStyle w:val="ListBullet"/>
      </w:pPr>
      <w:r>
        <w:rPr>
          <w:b/>
        </w:rPr>
        <w:t>Think-Pair-Share</w:t>
      </w:r>
      <w:r>
        <w:t>: Die Einzelphase sichert, dass alle SuS (auch leistungsschwache) die Tabelle selbst ausfüllen; im Pair wird das Argument versprachlicht (Wortspeicher), im Share von 1–2 Paaren vorgestellt.</w:t>
      </w:r>
    </w:p>
    <w:p>
      <w:pPr>
        <w:pStyle w:val="ListBullet"/>
      </w:pPr>
      <w:r>
        <w:rPr>
          <w:b/>
        </w:rPr>
        <w:t>Differenzierung</w:t>
      </w:r>
      <w:r>
        <w:t>: A1 ★ (Brüche testen) ist Mindeststandard, A2 ★★ (Lückentext-Argument) mit Tippkarten, A3 ★★★ (√3 und √4 – warum klappt es bei √4 nicht?) für Schnelle.</w:t>
      </w:r>
    </w:p>
    <w:p>
      <w:pPr>
        <w:pStyle w:val="ListBullet"/>
      </w:pPr>
      <w:r>
        <w:rPr>
          <w:b/>
        </w:rPr>
        <w:t>Antizipierte Fehlvorstellungen</w:t>
      </w:r>
      <w:r>
        <w:t>: „Der TR zeigt eine endliche Zahl, also ist √2 ein Bruch“ · „Irrational heißt: sehr viele Nachkommastellen“ · „Jede Wurzel ist irrational“ (√49, √0,09) · „Periodische Zahlen sind irrational“. → werden im Exit-Ticket gezielt geprüft.</w:t>
      </w:r>
    </w:p>
    <w:p>
      <w:pPr>
        <w:pStyle w:val="Heading3"/>
      </w:pPr>
      <w:r>
        <w:t>Verlaufsplan</w:t>
      </w:r>
    </w:p>
    <w:tbl>
      <w:tblPr>
        <w:tblW w:type="auto" w:w="0"/>
        <w:tblLayout w:type="fixed"/>
        <w:tblLook w:firstColumn="1" w:firstRow="1" w:lastColumn="0" w:lastRow="0" w:noHBand="0" w:noVBand="1" w:val="04A0"/>
        <w:jc w:val="center"/>
        <w:tblBorders>
          <w:top w:val="single" w:sz="8" w:color="000000"/>
          <w:left w:val="single" w:sz="8" w:color="000000"/>
          <w:bottom w:val="single" w:sz="8" w:color="000000"/>
          <w:right w:val="single" w:sz="8" w:color="000000"/>
          <w:insideH w:val="single" w:sz="8" w:color="000000"/>
          <w:insideV w:val="single" w:sz="8" w:color="000000"/>
        </w:tblBorders>
      </w:tblPr>
      <w:tblGrid>
        <w:gridCol w:w="1531"/>
        <w:gridCol w:w="850"/>
        <w:gridCol w:w="4422"/>
        <w:gridCol w:w="1644"/>
        <w:gridCol w:w="1417"/>
      </w:tblGrid>
      <w:tr>
        <w:tc>
          <w:tcPr>
            <w:tcW w:type="dxa" w:w="1531"/>
            <w:shd w:val="clear" w:color="auto" w:fill="E7E6E6"/>
          </w:tcPr>
          <w:p>
            <w:r>
              <w:rPr>
                <w:b/>
                <w:sz w:val="20"/>
              </w:rPr>
              <w:t>Phase</w:t>
            </w:r>
          </w:p>
        </w:tc>
        <w:tc>
          <w:tcPr>
            <w:tcW w:type="dxa" w:w="850"/>
            <w:shd w:val="clear" w:color="auto" w:fill="E7E6E6"/>
          </w:tcPr>
          <w:p>
            <w:r>
              <w:rPr>
                <w:b/>
                <w:sz w:val="20"/>
              </w:rPr>
              <w:t>Zeit</w:t>
            </w:r>
          </w:p>
        </w:tc>
        <w:tc>
          <w:tcPr>
            <w:tcW w:type="dxa" w:w="4422"/>
            <w:shd w:val="clear" w:color="auto" w:fill="E7E6E6"/>
          </w:tcPr>
          <w:p>
            <w:r>
              <w:rPr>
                <w:b/>
                <w:sz w:val="20"/>
              </w:rPr>
              <w:t>Unterrichtsgeschehen</w:t>
            </w:r>
          </w:p>
        </w:tc>
        <w:tc>
          <w:tcPr>
            <w:tcW w:type="dxa" w:w="1644"/>
            <w:shd w:val="clear" w:color="auto" w:fill="E7E6E6"/>
          </w:tcPr>
          <w:p>
            <w:r>
              <w:rPr>
                <w:b/>
                <w:sz w:val="20"/>
              </w:rPr>
              <w:t>Sozialform / Methode</w:t>
            </w:r>
          </w:p>
        </w:tc>
        <w:tc>
          <w:tcPr>
            <w:tcW w:type="dxa" w:w="1417"/>
            <w:shd w:val="clear" w:color="auto" w:fill="E7E6E6"/>
          </w:tcPr>
          <w:p>
            <w:r>
              <w:rPr>
                <w:b/>
                <w:sz w:val="20"/>
              </w:rPr>
              <w:t>Medien</w:t>
            </w:r>
          </w:p>
        </w:tc>
      </w:tr>
      <w:tr>
        <w:tc>
          <w:tcPr>
            <w:tcW w:type="dxa" w:w="1531"/>
          </w:tcPr>
          <w:p>
            <w:r>
              <w:rPr>
                <w:sz w:val="20"/>
              </w:rPr>
              <w:t>Einstieg</w:t>
            </w:r>
          </w:p>
        </w:tc>
        <w:tc>
          <w:tcPr>
            <w:tcW w:type="dxa" w:w="850"/>
          </w:tcPr>
          <w:p>
            <w:r>
              <w:rPr>
                <w:sz w:val="20"/>
              </w:rPr>
              <w:t>0–7'</w:t>
            </w:r>
          </w:p>
        </w:tc>
        <w:tc>
          <w:tcPr>
            <w:tcW w:type="dxa" w:w="4422"/>
          </w:tcPr>
          <w:p>
            <w:r>
              <w:rPr>
                <w:sz w:val="20"/>
              </w:rPr>
              <w:t>Beamer: TR-Anzeige √2 = 1,414213562. Lea: „√2 ist genau 1,414213562.“ Tom: „√2 ist genau 99/70.“</w:t>
            </w:r>
          </w:p>
          <w:p>
            <w:pPr>
              <w:spacing w:after="0"/>
            </w:pPr>
            <w:r>
              <w:rPr>
                <w:sz w:val="20"/>
              </w:rPr>
              <w:t>SuS prüfen kurz mit TR (Quadrieren) → beide falsch.</w:t>
            </w:r>
          </w:p>
          <w:p>
            <w:pPr>
              <w:spacing w:after="0"/>
            </w:pPr>
            <w:r>
              <w:rPr>
                <w:sz w:val="20"/>
              </w:rPr>
              <w:t xml:space="preserve">Stundenfrage an die Tafel: </w:t>
            </w:r>
            <w:r>
              <w:rPr>
                <w:b/>
                <w:sz w:val="20"/>
              </w:rPr>
              <w:t>Kann man √2 exakt als Bruch schreiben?</w:t>
            </w:r>
            <w:r>
              <w:rPr>
                <w:sz w:val="20"/>
              </w:rPr>
              <w:t xml:space="preserve"> Kurze Vermutungen sammeln (Daumenprobe).</w:t>
            </w:r>
          </w:p>
        </w:tc>
        <w:tc>
          <w:tcPr>
            <w:tcW w:type="dxa" w:w="1644"/>
          </w:tcPr>
          <w:p>
            <w:r>
              <w:rPr>
                <w:sz w:val="20"/>
              </w:rPr>
              <w:t>Plenum, Blitzlicht</w:t>
            </w:r>
          </w:p>
        </w:tc>
        <w:tc>
          <w:tcPr>
            <w:tcW w:type="dxa" w:w="1417"/>
          </w:tcPr>
          <w:p>
            <w:r>
              <w:rPr>
                <w:sz w:val="20"/>
              </w:rPr>
              <w:t>Beamer, TR</w:t>
            </w:r>
          </w:p>
        </w:tc>
      </w:tr>
      <w:tr>
        <w:tc>
          <w:tcPr>
            <w:tcW w:type="dxa" w:w="1531"/>
          </w:tcPr>
          <w:p>
            <w:r>
              <w:rPr>
                <w:sz w:val="20"/>
              </w:rPr>
              <w:t>Erarbeitung</w:t>
            </w:r>
          </w:p>
        </w:tc>
        <w:tc>
          <w:tcPr>
            <w:tcW w:type="dxa" w:w="850"/>
          </w:tcPr>
          <w:p>
            <w:r>
              <w:rPr>
                <w:sz w:val="20"/>
              </w:rPr>
              <w:t>7–22'</w:t>
            </w:r>
          </w:p>
        </w:tc>
        <w:tc>
          <w:tcPr>
            <w:tcW w:type="dxa" w:w="4422"/>
          </w:tcPr>
          <w:p>
            <w:r>
              <w:rPr>
                <w:b/>
                <w:sz w:val="20"/>
              </w:rPr>
              <w:t>Think</w:t>
            </w:r>
            <w:r>
              <w:rPr>
                <w:sz w:val="20"/>
              </w:rPr>
              <w:t xml:space="preserve"> (5'): A1 ★ einzeln; Schnelle beginnen A2.</w:t>
            </w:r>
          </w:p>
          <w:p>
            <w:pPr>
              <w:spacing w:after="0"/>
            </w:pPr>
            <w:r>
              <w:rPr>
                <w:b/>
                <w:sz w:val="20"/>
              </w:rPr>
              <w:t>Pair</w:t>
            </w:r>
            <w:r>
              <w:rPr>
                <w:sz w:val="20"/>
              </w:rPr>
              <w:t xml:space="preserve"> (8'): A2 ★★ gemeinsam (Tabelle, Lückentext), Wortspeicher nutzen; Tippkarten liegen am Pult. Schnelle Paare: A3 ★★★.</w:t>
            </w:r>
          </w:p>
          <w:p>
            <w:pPr>
              <w:spacing w:after="0"/>
            </w:pPr>
            <w:r>
              <w:rPr>
                <w:sz w:val="20"/>
              </w:rPr>
              <w:t>L beobachtet, gibt gezielt Tipps, wählt 1–2 Paare für die Präsentation aus.</w:t>
            </w:r>
          </w:p>
        </w:tc>
        <w:tc>
          <w:tcPr>
            <w:tcW w:type="dxa" w:w="1644"/>
          </w:tcPr>
          <w:p>
            <w:r>
              <w:rPr>
                <w:sz w:val="20"/>
              </w:rPr>
              <w:t>Think-Pair-Share</w:t>
            </w:r>
          </w:p>
        </w:tc>
        <w:tc>
          <w:tcPr>
            <w:tcW w:type="dxa" w:w="1417"/>
          </w:tcPr>
          <w:p>
            <w:r>
              <w:rPr>
                <w:sz w:val="20"/>
              </w:rPr>
              <w:t>AB, TR, Tippkarten</w:t>
            </w:r>
          </w:p>
        </w:tc>
      </w:tr>
      <w:tr>
        <w:tc>
          <w:tcPr>
            <w:tcW w:type="dxa" w:w="1531"/>
          </w:tcPr>
          <w:p>
            <w:r>
              <w:rPr>
                <w:sz w:val="20"/>
              </w:rPr>
              <w:t>Sicherung</w:t>
            </w:r>
          </w:p>
        </w:tc>
        <w:tc>
          <w:tcPr>
            <w:tcW w:type="dxa" w:w="850"/>
          </w:tcPr>
          <w:p>
            <w:r>
              <w:rPr>
                <w:sz w:val="20"/>
              </w:rPr>
              <w:t>22–33'</w:t>
            </w:r>
          </w:p>
        </w:tc>
        <w:tc>
          <w:tcPr>
            <w:tcW w:type="dxa" w:w="4422"/>
          </w:tcPr>
          <w:p>
            <w:r>
              <w:rPr>
                <w:b/>
                <w:sz w:val="20"/>
              </w:rPr>
              <w:t>Share</w:t>
            </w:r>
            <w:r>
              <w:rPr>
                <w:sz w:val="20"/>
              </w:rPr>
              <w:t>: Ein Paar erklärt das Endziffern-Argument an der Dokumentenkamera / Tafel; Klasse ergänzt.</w:t>
            </w:r>
          </w:p>
          <w:p>
            <w:pPr>
              <w:spacing w:after="0"/>
            </w:pPr>
            <w:r>
              <w:rPr>
                <w:sz w:val="20"/>
              </w:rPr>
              <w:t xml:space="preserve">Rückbezug Stundenfrage: Nein – √2 ist </w:t>
            </w:r>
            <w:r>
              <w:rPr>
                <w:b/>
                <w:sz w:val="20"/>
              </w:rPr>
              <w:t>kein</w:t>
            </w:r>
            <w:r>
              <w:rPr>
                <w:sz w:val="20"/>
              </w:rPr>
              <w:t xml:space="preserve"> Bruch.</w:t>
            </w:r>
          </w:p>
          <w:p>
            <w:pPr>
              <w:spacing w:after="0"/>
            </w:pPr>
            <w:r>
              <w:rPr>
                <w:sz w:val="20"/>
              </w:rPr>
              <w:t>Merkkasten gemeinsam ins Heft: Definition irrationale Zahl, rational ⇔ Dezimaldarstellung abbrechend oder periodisch; Beispiele.</w:t>
            </w:r>
          </w:p>
        </w:tc>
        <w:tc>
          <w:tcPr>
            <w:tcW w:type="dxa" w:w="1644"/>
          </w:tcPr>
          <w:p>
            <w:r>
              <w:rPr>
                <w:sz w:val="20"/>
              </w:rPr>
              <w:t>UG, Schülervortrag</w:t>
            </w:r>
          </w:p>
        </w:tc>
        <w:tc>
          <w:tcPr>
            <w:tcW w:type="dxa" w:w="1417"/>
          </w:tcPr>
          <w:p>
            <w:r>
              <w:rPr>
                <w:sz w:val="20"/>
              </w:rPr>
              <w:t>Tafel, Heft</w:t>
            </w:r>
          </w:p>
        </w:tc>
      </w:tr>
      <w:tr>
        <w:tc>
          <w:tcPr>
            <w:tcW w:type="dxa" w:w="1531"/>
          </w:tcPr>
          <w:p>
            <w:r>
              <w:rPr>
                <w:sz w:val="20"/>
              </w:rPr>
              <w:t>Übung / Diagnose</w:t>
            </w:r>
          </w:p>
        </w:tc>
        <w:tc>
          <w:tcPr>
            <w:tcW w:type="dxa" w:w="850"/>
          </w:tcPr>
          <w:p>
            <w:r>
              <w:rPr>
                <w:sz w:val="20"/>
              </w:rPr>
              <w:t>33–41'</w:t>
            </w:r>
          </w:p>
        </w:tc>
        <w:tc>
          <w:tcPr>
            <w:tcW w:type="dxa" w:w="4422"/>
          </w:tcPr>
          <w:p>
            <w:r>
              <w:rPr>
                <w:b/>
                <w:sz w:val="20"/>
              </w:rPr>
              <w:t>Exit-Ticket</w:t>
            </w:r>
            <w:r>
              <w:rPr>
                <w:sz w:val="20"/>
              </w:rPr>
              <w:t>: 6 Zahlen rational/irrational ankreuzen und eine Begründung formulieren. Einsammeln.</w:t>
            </w:r>
          </w:p>
        </w:tc>
        <w:tc>
          <w:tcPr>
            <w:tcW w:type="dxa" w:w="1644"/>
          </w:tcPr>
          <w:p>
            <w:r>
              <w:rPr>
                <w:sz w:val="20"/>
              </w:rPr>
              <w:t>EA</w:t>
            </w:r>
          </w:p>
        </w:tc>
        <w:tc>
          <w:tcPr>
            <w:tcW w:type="dxa" w:w="1417"/>
          </w:tcPr>
          <w:p>
            <w:r>
              <w:rPr>
                <w:sz w:val="20"/>
              </w:rPr>
              <w:t>Exit-Ticket</w:t>
            </w:r>
          </w:p>
        </w:tc>
      </w:tr>
      <w:tr>
        <w:tc>
          <w:tcPr>
            <w:tcW w:type="dxa" w:w="1531"/>
          </w:tcPr>
          <w:p>
            <w:r>
              <w:rPr>
                <w:sz w:val="20"/>
              </w:rPr>
              <w:t>Abschluss</w:t>
            </w:r>
          </w:p>
        </w:tc>
        <w:tc>
          <w:tcPr>
            <w:tcW w:type="dxa" w:w="850"/>
          </w:tcPr>
          <w:p>
            <w:r>
              <w:rPr>
                <w:sz w:val="20"/>
              </w:rPr>
              <w:t>41–45'</w:t>
            </w:r>
          </w:p>
        </w:tc>
        <w:tc>
          <w:tcPr>
            <w:tcW w:type="dxa" w:w="4422"/>
          </w:tcPr>
          <w:p>
            <w:r>
              <w:rPr>
                <w:sz w:val="20"/>
              </w:rPr>
              <w:t>Kurzer Ausblick: „Welche Zahlen gibt es eigentlich alle?“ → Do: reelle Zahlen. Hausaufgabe.</w:t>
            </w:r>
          </w:p>
        </w:tc>
        <w:tc>
          <w:tcPr>
            <w:tcW w:type="dxa" w:w="1644"/>
          </w:tcPr>
          <w:p>
            <w:r>
              <w:rPr>
                <w:sz w:val="20"/>
              </w:rPr>
              <w:t>Plenum</w:t>
            </w:r>
          </w:p>
        </w:tc>
        <w:tc>
          <w:tcPr>
            <w:tcW w:type="dxa" w:w="1417"/>
          </w:tcPr>
          <w:p/>
        </w:tc>
      </w:tr>
    </w:tbl>
    <w:p/>
    <w:p>
      <w:pPr>
        <w:pStyle w:val="Heading3"/>
      </w:pPr>
      <w:r>
        <w:t>Tafelbild / Merkkasten</w:t>
      </w:r>
    </w:p>
    <w:tbl>
      <w:tblPr>
        <w:tblW w:type="auto" w:w="0"/>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Pr>
      <w:tblGrid>
        <w:gridCol w:w="9866"/>
      </w:tblGrid>
      <w:tr>
        <w:trPr>
          <w:cantSplit/>
        </w:trPr>
        <w:tc>
          <w:tcPr>
            <w:tcW w:type="dxa" w:w="9866"/>
            <w:shd w:val="clear" w:color="auto" w:fill="E7E6E6"/>
          </w:tcPr>
          <w:p>
            <w:pPr>
              <w:keepNext/>
            </w:pPr>
            <w:r>
              <w:rPr>
                <w:b/>
              </w:rPr>
              <w:t>Irrationale Zahlen</w:t>
            </w:r>
          </w:p>
          <w:p>
            <w:pPr>
              <w:keepNext/>
              <w:spacing w:after="40"/>
            </w:pPr>
            <w:r>
              <w:t xml:space="preserve">Eine Zahl, die sich </w:t>
            </w:r>
            <w:r>
              <w:rPr>
                <w:b/>
              </w:rPr>
              <w:t>nicht</w:t>
            </w:r>
            <w:r>
              <w:t xml:space="preserve"> als Bruch p/q (p, q ganze Zahlen, q ≠ 0) schreiben lässt, heißt </w:t>
            </w:r>
            <w:r>
              <w:rPr>
                <w:b/>
              </w:rPr>
              <w:t>irrational</w:t>
            </w:r>
            <w:r>
              <w:t>.</w:t>
            </w:r>
          </w:p>
          <w:p>
            <w:pPr>
              <w:keepNext/>
              <w:spacing w:after="40"/>
            </w:pPr>
            <w:r>
              <w:t xml:space="preserve">Rationale Zahlen haben eine </w:t>
            </w:r>
            <w:r>
              <w:rPr>
                <w:b/>
              </w:rPr>
              <w:t>abbrechende</w:t>
            </w:r>
            <w:r>
              <w:t xml:space="preserve"> (0,25) oder </w:t>
            </w:r>
            <w:r>
              <w:rPr>
                <w:b/>
              </w:rPr>
              <w:t>periodische</w:t>
            </w:r>
            <w:r>
              <w:t xml:space="preserve"> (0,3̅) Dezimaldarstellung.</w:t>
            </w:r>
          </w:p>
          <w:p>
            <w:pPr>
              <w:keepNext/>
              <w:spacing w:after="40"/>
            </w:pPr>
            <w:r>
              <w:t xml:space="preserve">Irrationale Zahlen haben eine </w:t>
            </w:r>
            <w:r>
              <w:rPr>
                <w:b/>
              </w:rPr>
              <w:t>unendliche, nicht periodische</w:t>
            </w:r>
            <w:r>
              <w:t xml:space="preserve"> Dezimaldarstellung.</w:t>
            </w:r>
          </w:p>
          <w:p>
            <w:pPr>
              <w:keepNext/>
              <w:spacing w:after="40"/>
            </w:pPr>
            <w:r>
              <w:t>Beispiele: √2, √3, √50, π, 0,1010010001…   Gegenbeispiele (rational): √49 = 7, √0,09 = 0,3, √(9/25) = 3/5</w:t>
            </w:r>
          </w:p>
          <w:p>
            <w:pPr>
              <w:keepNext/>
              <w:spacing w:after="40"/>
            </w:pPr>
            <w:r>
              <w:t xml:space="preserve">Der Taschenrechner zeigt immer nur einen </w:t>
            </w:r>
            <w:r>
              <w:rPr>
                <w:b/>
              </w:rPr>
              <w:t>gerundeten</w:t>
            </w:r>
            <w:r>
              <w:t xml:space="preserve"> Wert: √2 ≈ 1,414213562.</w:t>
            </w:r>
          </w:p>
        </w:tc>
      </w:tr>
    </w:tbl>
    <w:p/>
    <w:p>
      <w:pPr>
        <w:pStyle w:val="Heading3"/>
      </w:pPr>
      <w:r>
        <w:t>Erwartete Schülerlösungen</w:t>
      </w:r>
    </w:p>
    <w:p>
      <w:pPr>
        <w:pStyle w:val="ListBullet"/>
      </w:pPr>
      <w:r>
        <w:t>A1: (7/5)² = 49/25 = 1,96 · (17/12)² = 289/144 ≈ 2,0069 · (41/29)² = 1681/841 ≈ 1,9988 · (99/70)² = 9801/4900 ≈ 2,0002 – nah an 2, aber nie genau 2.</w:t>
      </w:r>
    </w:p>
    <w:p>
      <w:pPr>
        <w:pStyle w:val="ListBullet"/>
      </w:pPr>
      <w:r>
        <w:t>A2: Endziffern von q² sind 0, 1, 4, 5, 6, 9; Endziffern von 2q² nur 0, 2, 8. Gemeinsam ist nur die 0. Also endet p² auf 0 → p endet auf 0. 2q² endet auf 0 → q² endet auf 0 oder 5 → q endet auf 0 oder 5. Dann sind p und q durch 5 teilbar – Widerspruch zu „vollständig gekürzt“.</w:t>
      </w:r>
    </w:p>
    <w:p>
      <w:pPr>
        <w:pStyle w:val="ListBullet"/>
      </w:pPr>
      <w:r>
        <w:t>A3 a): 3q² hat die Endziffern 0, 2, 3, 5, 7, 8; gemeinsam mit p²: 0 und 5. In beiden Fällen enden p und q auf dieselbe Ziffer (0 oder 5) → beide durch 5 teilbar → Widerspruch.</w:t>
      </w:r>
    </w:p>
    <w:p>
      <w:pPr>
        <w:pStyle w:val="ListBullet"/>
      </w:pPr>
      <w:r>
        <w:t>A3 b): 4q² hat die Endziffern 0, 4, 6 – alle kommen auch bei p² vor. Es entsteht kein Widerspruch; tatsächlich ist √4 = 2 = 2/1 rational.</w:t>
      </w:r>
    </w:p>
    <w:p>
      <w:pPr>
        <w:pStyle w:val="Heading3"/>
      </w:pPr>
      <w:r>
        <w:t>Didaktische Reserve und Hausaufgabe</w:t>
      </w:r>
    </w:p>
    <w:p>
      <w:pPr>
        <w:pStyle w:val="ListBullet"/>
      </w:pPr>
      <w:r>
        <w:rPr>
          <w:b/>
        </w:rPr>
        <w:t>Reserve</w:t>
      </w:r>
      <w:r>
        <w:t>: „Finde eine irrationale Zahl zwischen 3 und 4 – und eine, die keine Wurzel ist.“ (z. B. √10, π, 3,1011011101111…)</w:t>
      </w:r>
    </w:p>
    <w:p>
      <w:pPr>
        <w:pStyle w:val="ListBullet"/>
      </w:pPr>
      <w:r>
        <w:rPr>
          <w:b/>
        </w:rPr>
        <w:t>Hausaufgabe</w:t>
      </w:r>
      <w:r>
        <w:t>: AB Aufgabe 4 (Zahlen einordnen) und LS 9, Kap. 3: S. __ Nr. __ (bitte eintragen).</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