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40"/>
        <w:jc w:val="left"/>
      </w:pPr>
      <w:r>
        <w:rPr>
          <w:rFonts w:ascii="Calibri" w:hAnsi="Calibri"/>
          <w:b/>
          <w:color w:val="000000"/>
          <w:sz w:val="36"/>
        </w:rPr>
        <w:t>台灣石虎保育：教學演示用精準版參考資料</w:t>
      </w:r>
    </w:p>
    <w:p>
      <w:pPr>
        <w:spacing w:before="0" w:after="160" w:lineRule="auto" w:line="240"/>
        <w:jc w:val="left"/>
      </w:pPr>
      <w:r>
        <w:rPr>
          <w:rFonts w:ascii="Calibri" w:hAnsi="Calibri"/>
          <w:b w:val="0"/>
          <w:color w:val="555555"/>
          <w:sz w:val="21"/>
        </w:rPr>
        <w:t>用途：給學生做 NotebookLM 資訊圖表、海報或簡報前的基礎參考。已校準「原生 / 特有種 / 亞種」用詞。</w:t>
      </w:r>
    </w:p>
    <w:p>
      <w:pPr>
        <w:spacing w:before="0" w:after="160" w:lineRule="auto" w:line="276"/>
        <w:jc w:val="left"/>
      </w:pPr>
      <w:r>
        <w:rPr>
          <w:b/>
        </w:rPr>
        <w:t>核心判準：</w:t>
      </w:r>
      <w:r>
        <w:t>公開教學文案可以寫「台灣原生的石虎」或「台灣原生貓科物種石虎」；不建議直接寫成「台灣特有種」。若要談亞種，請註明所依據的文獻，避免把尚有分類差異的說法寫成單一定論。</w:t>
      </w:r>
    </w:p>
    <w:p>
      <w:pPr>
        <w:spacing w:before="360" w:after="160" w:lineRule="auto" w:line="240"/>
        <w:jc w:val="left"/>
      </w:pPr>
      <w:r>
        <w:rPr>
          <w:rFonts w:ascii="Calibri" w:hAnsi="Calibri"/>
          <w:b w:val="0"/>
          <w:color w:val="2E74B5"/>
          <w:sz w:val="32"/>
        </w:rPr>
        <w:t>一、最安全的說法</w:t>
      </w:r>
    </w:p>
    <w:p>
      <w:pPr>
        <w:spacing w:before="0" w:after="120" w:lineRule="auto" w:line="276"/>
        <w:jc w:val="left"/>
      </w:pPr>
      <w:r>
        <w:t>石虎（Prionailurus bengalensis）是台灣唯一現存的原生貓科物種。</w:t>
      </w:r>
      <w:r>
        <w:t xml:space="preserve"> 這句可安全用在教學演示。</w:t>
      </w:r>
    </w:p>
    <w:p>
      <w:pPr>
        <w:spacing w:before="0" w:after="120" w:lineRule="auto" w:line="276"/>
        <w:jc w:val="left"/>
      </w:pPr>
      <w:r>
        <w:t>若要強調地理來源，可寫：</w:t>
      </w:r>
      <w:r>
        <w:t>「台灣原生的石虎」</w:t>
      </w:r>
      <w:r>
        <w:t xml:space="preserve"> 或 </w:t>
      </w:r>
      <w:r>
        <w:t>「台灣原生貓科物種石虎」</w:t>
      </w:r>
    </w:p>
    <w:p>
      <w:pPr>
        <w:spacing w:before="0" w:after="160" w:lineRule="auto" w:line="276"/>
        <w:jc w:val="left"/>
      </w:pPr>
      <w:r>
        <w:t>若要處理分類爭議，建議寫：</w:t>
      </w:r>
      <w:r>
        <w:t>「石虎的東亞族群在不同分類研究中有不同界定，公開教學不宜直接把某一亞種名稱寫成定論。」</w:t>
      </w:r>
    </w:p>
    <w:p>
      <w:pPr>
        <w:spacing w:before="240" w:after="120" w:lineRule="auto" w:line="240"/>
        <w:jc w:val="left"/>
      </w:pPr>
      <w:r>
        <w:rPr>
          <w:rFonts w:ascii="Calibri" w:hAnsi="Calibri"/>
          <w:b w:val="0"/>
          <w:color w:val="2E74B5"/>
          <w:sz w:val="26"/>
        </w:rPr>
        <w:t>二、正確用詞對照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/>
        <w:tc>
          <w:tcPr>
            <w:tcW w:type="dxa" w:w="46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建議寫法</w:t>
            </w:r>
          </w:p>
        </w:tc>
        <w:tc>
          <w:tcPr>
            <w:tcW w:type="dxa" w:w="468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避免寫法</w:t>
            </w:r>
          </w:p>
        </w:tc>
      </w:tr>
      <w:tr>
        <w:trPr/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台灣原生的石虎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台灣特有種石虎</w:t>
            </w:r>
          </w:p>
        </w:tc>
      </w:tr>
      <w:tr>
        <w:trPr/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台灣原生貓科物種石虎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台灣唯一特有貓科物種</w:t>
            </w:r>
          </w:p>
        </w:tc>
      </w:tr>
      <w:tr>
        <w:trPr/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若引用文獻，再提亞種或族群劃分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未註明來源就直接寫華南亞種</w:t>
            </w:r>
          </w:p>
        </w:tc>
      </w:tr>
      <w:tr>
        <w:trPr/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石虎在台灣的保育現況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20"/>
              </w:rPr>
              <w:t>石虎在台灣已完全穩定、沒有威脅</w:t>
            </w:r>
          </w:p>
        </w:tc>
      </w:tr>
    </w:tbl>
    <w:p>
      <w:pPr>
        <w:spacing w:before="280" w:after="120" w:lineRule="auto" w:line="240"/>
        <w:jc w:val="left"/>
      </w:pPr>
      <w:r>
        <w:rPr>
          <w:rFonts w:ascii="Calibri" w:hAnsi="Calibri"/>
          <w:b w:val="0"/>
          <w:color w:val="2E74B5"/>
          <w:sz w:val="26"/>
        </w:rPr>
        <w:t>三、可直接放進教學演示的文案</w:t>
      </w:r>
    </w:p>
    <w:p>
      <w:pPr>
        <w:spacing w:before="0" w:after="120" w:lineRule="auto" w:line="276"/>
        <w:jc w:val="left"/>
      </w:pPr>
      <w:r>
        <w:t>石虎是台灣唯一現存的原生貓科物種，也是淺山生態系的重要代表。當一個地方仍有石虎活動，通常表示當地還保有一定品質的棲地與生態條件。</w:t>
      </w:r>
    </w:p>
    <w:p>
      <w:pPr>
        <w:spacing w:before="0" w:after="120" w:lineRule="auto" w:line="276"/>
        <w:jc w:val="left"/>
      </w:pPr>
      <w:r>
        <w:t>石虎最重要的威脅，包括棲地破碎化、道路路殺、陷阱誤捕與人獸衝突。這些問題會讓石虎的活動空間變小、死亡風險升高，也會增加與人類生活環境的摩擦。</w:t>
      </w:r>
    </w:p>
    <w:p>
      <w:pPr>
        <w:spacing w:before="0" w:after="120" w:lineRule="auto" w:line="276"/>
        <w:jc w:val="left"/>
      </w:pPr>
      <w:r>
        <w:t>保育石虎的重點，不只是避免傷害牠，更要讓牠有連續的棲地、安全的移動路線、比較少的危險陷阱，以及能和人類共存的環境管理方式。</w:t>
      </w:r>
    </w:p>
    <w:p>
      <w:pPr>
        <w:spacing w:before="0" w:after="120" w:lineRule="auto" w:line="276"/>
        <w:jc w:val="left"/>
      </w:pPr>
      <w:r>
        <w:t>因此，石虎保育不是單一物種議題，而是台灣淺山環境與生物多樣性保存的重要工作。</w:t>
      </w:r>
    </w:p>
    <w:p>
      <w:pPr>
        <w:spacing w:before="240" w:after="120" w:lineRule="auto" w:line="240"/>
        <w:jc w:val="left"/>
      </w:pPr>
      <w:r>
        <w:rPr>
          <w:rFonts w:ascii="Calibri" w:hAnsi="Calibri"/>
          <w:b w:val="0"/>
          <w:color w:val="2E74B5"/>
          <w:sz w:val="26"/>
        </w:rPr>
        <w:t>四、學生做資訊圖表時可抓的重點</w:t>
      </w:r>
    </w:p>
    <w:p>
      <w:pPr>
        <w:spacing w:before="0" w:after="60" w:lineRule="auto" w:line="276"/>
        <w:jc w:val="left"/>
      </w:pPr>
      <w:r>
        <w:rPr>
          <w:b/>
        </w:rPr>
        <w:t>主角：</w:t>
      </w:r>
      <w:r>
        <w:t>台灣石虎</w:t>
      </w:r>
    </w:p>
    <w:p>
      <w:pPr>
        <w:spacing w:before="0" w:after="60" w:lineRule="auto" w:line="276"/>
        <w:jc w:val="left"/>
      </w:pPr>
      <w:r>
        <w:rPr>
          <w:b/>
        </w:rPr>
        <w:t>定位：</w:t>
      </w:r>
      <w:r>
        <w:t>台灣原生貓科物種，不寫成台灣特有種</w:t>
      </w:r>
    </w:p>
    <w:p>
      <w:pPr>
        <w:spacing w:before="0" w:after="60" w:lineRule="auto" w:line="276"/>
        <w:jc w:val="left"/>
      </w:pPr>
      <w:r>
        <w:rPr>
          <w:b/>
        </w:rPr>
        <w:t>威脅：</w:t>
      </w:r>
      <w:r>
        <w:t>棲地破碎化、道路路殺、陷阱誤捕、人獸衝突</w:t>
      </w:r>
    </w:p>
    <w:p>
      <w:pPr>
        <w:spacing w:before="0" w:after="60" w:lineRule="auto" w:line="276"/>
        <w:jc w:val="left"/>
      </w:pPr>
      <w:r>
        <w:rPr>
          <w:b/>
        </w:rPr>
        <w:t>保育方法：</w:t>
      </w:r>
      <w:r>
        <w:t>保護棲地、減少路殺、移除危險陷阱、推動友善農作、加強教育</w:t>
      </w:r>
    </w:p>
    <w:p>
      <w:pPr>
        <w:spacing w:before="0" w:after="60" w:lineRule="auto" w:line="276"/>
        <w:jc w:val="left"/>
      </w:pPr>
      <w:r>
        <w:rPr>
          <w:b/>
        </w:rPr>
        <w:t>結論：</w:t>
      </w:r>
      <w:r>
        <w:t>保護石虎，就是守護台灣淺山生態</w:t>
      </w:r>
    </w:p>
    <w:p>
      <w:pPr>
        <w:spacing w:before="280" w:after="120" w:lineRule="auto" w:line="240"/>
        <w:jc w:val="left"/>
      </w:pPr>
      <w:r>
        <w:rPr>
          <w:rFonts w:ascii="Calibri" w:hAnsi="Calibri"/>
          <w:b w:val="0"/>
          <w:color w:val="2E74B5"/>
          <w:sz w:val="26"/>
        </w:rPr>
        <w:t>五、可引用來源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4620"/>
        <w:gridCol w:w="2340"/>
      </w:tblGrid>
      <w:tr>
        <w:trPr/>
        <w:tc>
          <w:tcPr>
            <w:tcW w:type="dxa" w:w="24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來源</w:t>
            </w:r>
          </w:p>
        </w:tc>
        <w:tc>
          <w:tcPr>
            <w:tcW w:type="dxa" w:w="462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可支持的重點</w:t>
            </w:r>
          </w:p>
        </w:tc>
        <w:tc>
          <w:tcPr>
            <w:tcW w:type="dxa" w:w="234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連結</w:t>
            </w:r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台灣石虎保育協會：石虎的六個小檔案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台灣唯一現存的原生貓科物種、分布、食性與繁殖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9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台灣石虎保育協會：石虎的六個危機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保育宣導中的主要威脅與危機架構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10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Vigne et al., 2016, PLOS ONE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石虎與中國早期家貓起源的考古研究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11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Tamada et al., 2008, Zoological Science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亞洲豹貓的分子遺傳與地理分化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12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Chua et al., 2016, Mammal Research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石虎族群密度、時空利用與食性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13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Grassman et al., 2005, Journal of Zoology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石虎活動範圍與食性研究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14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  <w:tr>
        <w:trPr/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Johnson et al., 2006, Science</w:t>
            </w:r>
          </w:p>
        </w:tc>
        <w:tc>
          <w:tcPr>
            <w:tcW w:type="dxa" w:w="46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現代貓科演化與分類背景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/>
            <w:hyperlink r:id="rId15">
              <w:r>
                <w:rPr>
                  <w:rFonts w:ascii="Calibri" w:hAnsi="Calibri"/>
                  <w:color w:val="0563C1"/>
                  <w:u w:val="single"/>
                  <w:sz w:val="19"/>
                </w:rPr>
                <w:t>開啟連結</w:t>
              </w:r>
            </w:hyperlink>
          </w:p>
        </w:tc>
      </w:tr>
    </w:tbl>
    <w:p>
      <w:pPr>
        <w:spacing w:before="200" w:after="0" w:lineRule="auto" w:line="276"/>
        <w:jc w:val="left"/>
      </w:pPr>
      <w:r>
        <w:rPr>
          <w:b/>
        </w:rPr>
        <w:t>公開教學建議：</w:t>
      </w:r>
      <w:r>
        <w:t>在標題與重點句中優先使用「台灣原生」；只有在明確引用特定分類研究時，才提到亞種或族群劃分。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wlcat.org/%E8%AA%8D%E8%AD%98%E7%9F%B3%E8%99%8E/" TargetMode="External"/><Relationship Id="rId10" Type="http://schemas.openxmlformats.org/officeDocument/2006/relationships/hyperlink" Target="https://www.twlcat.org/%E7%9F%B3%E8%99%8E%E7%9A%84%E5%8D%B1%E6%A9%9F/" TargetMode="External"/><Relationship Id="rId11" Type="http://schemas.openxmlformats.org/officeDocument/2006/relationships/hyperlink" Target="https://doi.org/10.1371/journal.pone.0147295" TargetMode="External"/><Relationship Id="rId12" Type="http://schemas.openxmlformats.org/officeDocument/2006/relationships/hyperlink" Target="https://doi.org/10.2108/zsj.25.154" TargetMode="External"/><Relationship Id="rId13" Type="http://schemas.openxmlformats.org/officeDocument/2006/relationships/hyperlink" Target="https://doi.org/10.1007/s13364-015-0259-4" TargetMode="External"/><Relationship Id="rId14" Type="http://schemas.openxmlformats.org/officeDocument/2006/relationships/hyperlink" Target="https://doi.org/10.1017/S095283690500659X" TargetMode="External"/><Relationship Id="rId15" Type="http://schemas.openxmlformats.org/officeDocument/2006/relationships/hyperlink" Target="https://doi.org/10.1126/science.1122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