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77951" w14:textId="6D4D7E42" w:rsidR="00942A29" w:rsidRPr="004E281F" w:rsidRDefault="00904460" w:rsidP="00904460">
      <w:pPr>
        <w:spacing w:line="360" w:lineRule="auto"/>
        <w:jc w:val="center"/>
        <w:rPr>
          <w:rFonts w:ascii="Arial" w:hAnsi="Arial" w:cs="Arial"/>
          <w:b/>
          <w:sz w:val="24"/>
        </w:rPr>
      </w:pPr>
      <w:proofErr w:type="spellStart"/>
      <w:r w:rsidRPr="004E281F">
        <w:rPr>
          <w:rFonts w:ascii="Arial" w:hAnsi="Arial" w:cs="Arial"/>
          <w:b/>
          <w:sz w:val="24"/>
        </w:rPr>
        <w:t>Urinotórax</w:t>
      </w:r>
      <w:proofErr w:type="spellEnd"/>
      <w:r w:rsidRPr="004E281F">
        <w:rPr>
          <w:rFonts w:ascii="Arial" w:hAnsi="Arial" w:cs="Arial"/>
          <w:b/>
          <w:sz w:val="24"/>
        </w:rPr>
        <w:t>: Causa Poco Frecuente de Derrame Pleural Masivo</w:t>
      </w:r>
    </w:p>
    <w:p w14:paraId="29D6BEE3" w14:textId="77777777" w:rsidR="00143B97" w:rsidRPr="00904460" w:rsidRDefault="00143B97" w:rsidP="00143B97">
      <w:pPr>
        <w:spacing w:line="240" w:lineRule="auto"/>
        <w:rPr>
          <w:rFonts w:ascii="Arial" w:hAnsi="Arial" w:cs="Arial"/>
          <w:i/>
        </w:rPr>
      </w:pPr>
    </w:p>
    <w:p w14:paraId="6E689F4B" w14:textId="77777777" w:rsidR="00106CBB" w:rsidRDefault="00942A29" w:rsidP="001C7704">
      <w:pPr>
        <w:spacing w:line="360" w:lineRule="auto"/>
        <w:jc w:val="both"/>
        <w:rPr>
          <w:rFonts w:ascii="Arial" w:hAnsi="Arial" w:cs="Arial"/>
        </w:rPr>
      </w:pPr>
      <w:r w:rsidRPr="00904460">
        <w:rPr>
          <w:rFonts w:ascii="Arial" w:hAnsi="Arial" w:cs="Arial"/>
        </w:rPr>
        <w:t>Va</w:t>
      </w:r>
      <w:r w:rsidR="002027B5" w:rsidRPr="00904460">
        <w:rPr>
          <w:rFonts w:ascii="Arial" w:hAnsi="Arial" w:cs="Arial"/>
        </w:rPr>
        <w:t xml:space="preserve">rón de 74 años con antecedentes </w:t>
      </w:r>
      <w:r w:rsidRPr="00904460">
        <w:rPr>
          <w:rFonts w:ascii="Arial" w:hAnsi="Arial" w:cs="Arial"/>
        </w:rPr>
        <w:t>de hipertensión arterial e hiperuricemia, sin otros antece</w:t>
      </w:r>
      <w:r w:rsidR="002027B5" w:rsidRPr="00904460">
        <w:rPr>
          <w:rFonts w:ascii="Arial" w:hAnsi="Arial" w:cs="Arial"/>
        </w:rPr>
        <w:t xml:space="preserve">dentes médicos ni quirúrgicos, que ingresa por  astenia, </w:t>
      </w:r>
      <w:r w:rsidRPr="00904460">
        <w:rPr>
          <w:rFonts w:ascii="Arial" w:hAnsi="Arial" w:cs="Arial"/>
        </w:rPr>
        <w:t>pérdida de peso no cuantificada, disnea progresiva de  moderados esfuerzos de 2 semanas de evolución y dolor abdominal difuso. En analítica sanguínea se objetiva  leucocitos 12</w:t>
      </w:r>
      <w:r w:rsidR="00465620" w:rsidRPr="00904460">
        <w:rPr>
          <w:rFonts w:ascii="Arial" w:hAnsi="Arial" w:cs="Arial"/>
        </w:rPr>
        <w:t>400/</w:t>
      </w:r>
      <w:proofErr w:type="spellStart"/>
      <w:r w:rsidR="00465620" w:rsidRPr="00904460">
        <w:rPr>
          <w:rFonts w:ascii="Arial" w:hAnsi="Arial" w:cs="Arial"/>
        </w:rPr>
        <w:t>uL</w:t>
      </w:r>
      <w:proofErr w:type="spellEnd"/>
      <w:r w:rsidRPr="00904460">
        <w:rPr>
          <w:rFonts w:ascii="Arial" w:hAnsi="Arial" w:cs="Arial"/>
        </w:rPr>
        <w:t>, creatinina 0.98</w:t>
      </w:r>
      <w:r w:rsidR="00465620" w:rsidRPr="00904460">
        <w:rPr>
          <w:rFonts w:ascii="Arial" w:hAnsi="Arial" w:cs="Arial"/>
        </w:rPr>
        <w:t xml:space="preserve"> mg/dl</w:t>
      </w:r>
      <w:r w:rsidRPr="00904460">
        <w:rPr>
          <w:rFonts w:ascii="Arial" w:hAnsi="Arial" w:cs="Arial"/>
        </w:rPr>
        <w:t>, PCR 19</w:t>
      </w:r>
      <w:r w:rsidR="00465620" w:rsidRPr="00904460">
        <w:rPr>
          <w:rFonts w:ascii="Arial" w:hAnsi="Arial" w:cs="Arial"/>
        </w:rPr>
        <w:t xml:space="preserve"> mg/dl</w:t>
      </w:r>
      <w:r w:rsidRPr="00904460">
        <w:rPr>
          <w:rFonts w:ascii="Arial" w:hAnsi="Arial" w:cs="Arial"/>
        </w:rPr>
        <w:t>, LDH 318</w:t>
      </w:r>
      <w:r w:rsidR="00465620" w:rsidRPr="00904460">
        <w:rPr>
          <w:rFonts w:ascii="Arial" w:hAnsi="Arial" w:cs="Arial"/>
        </w:rPr>
        <w:t xml:space="preserve"> U/L</w:t>
      </w:r>
      <w:r w:rsidR="002027B5" w:rsidRPr="00904460">
        <w:rPr>
          <w:rFonts w:ascii="Arial" w:hAnsi="Arial" w:cs="Arial"/>
        </w:rPr>
        <w:t xml:space="preserve">. </w:t>
      </w:r>
      <w:r w:rsidRPr="00904460">
        <w:rPr>
          <w:rFonts w:ascii="Arial" w:hAnsi="Arial" w:cs="Arial"/>
        </w:rPr>
        <w:t>En la radiografía de tórax (</w:t>
      </w:r>
      <w:r w:rsidR="00465620" w:rsidRPr="00904460">
        <w:rPr>
          <w:rFonts w:ascii="Arial" w:hAnsi="Arial" w:cs="Arial"/>
          <w:i/>
        </w:rPr>
        <w:t>Fig.</w:t>
      </w:r>
      <w:r w:rsidR="00465620" w:rsidRPr="00904460">
        <w:rPr>
          <w:rFonts w:ascii="Arial" w:hAnsi="Arial" w:cs="Arial"/>
        </w:rPr>
        <w:t xml:space="preserve"> 1), </w:t>
      </w:r>
      <w:r w:rsidRPr="00904460">
        <w:rPr>
          <w:rFonts w:ascii="Arial" w:hAnsi="Arial" w:cs="Arial"/>
        </w:rPr>
        <w:t>se observa  derrame pleural derecho</w:t>
      </w:r>
      <w:r w:rsidR="008D6A6B" w:rsidRPr="00904460">
        <w:rPr>
          <w:rFonts w:ascii="Arial" w:hAnsi="Arial" w:cs="Arial"/>
        </w:rPr>
        <w:t>, líquido pleural</w:t>
      </w:r>
      <w:r w:rsidRPr="00904460">
        <w:rPr>
          <w:rFonts w:ascii="Arial" w:hAnsi="Arial" w:cs="Arial"/>
        </w:rPr>
        <w:t xml:space="preserve"> compatib</w:t>
      </w:r>
      <w:r w:rsidR="00B54D94" w:rsidRPr="00904460">
        <w:rPr>
          <w:rFonts w:ascii="Arial" w:hAnsi="Arial" w:cs="Arial"/>
        </w:rPr>
        <w:t xml:space="preserve">le con exudado. </w:t>
      </w:r>
    </w:p>
    <w:p w14:paraId="1723B453" w14:textId="4FC996D6" w:rsidR="00106CBB" w:rsidRDefault="00106CBB" w:rsidP="001C7704">
      <w:pPr>
        <w:spacing w:line="360" w:lineRule="auto"/>
        <w:jc w:val="both"/>
        <w:rPr>
          <w:rFonts w:ascii="Arial" w:hAnsi="Arial" w:cs="Arial"/>
        </w:rPr>
      </w:pPr>
      <w:r>
        <w:rPr>
          <w:rFonts w:ascii="Arial" w:hAnsi="Arial" w:cs="Arial"/>
          <w:noProof/>
          <w:lang w:eastAsia="es-ES"/>
        </w:rPr>
        <w:drawing>
          <wp:anchor distT="0" distB="0" distL="114300" distR="114300" simplePos="0" relativeHeight="251659264" behindDoc="0" locked="0" layoutInCell="1" allowOverlap="1" wp14:anchorId="03AC82E9" wp14:editId="0C26DF18">
            <wp:simplePos x="0" y="0"/>
            <wp:positionH relativeFrom="column">
              <wp:posOffset>-228600</wp:posOffset>
            </wp:positionH>
            <wp:positionV relativeFrom="paragraph">
              <wp:posOffset>149860</wp:posOffset>
            </wp:positionV>
            <wp:extent cx="2991485" cy="2628900"/>
            <wp:effectExtent l="0" t="0" r="5715" b="12700"/>
            <wp:wrapSquare wrapText="bothSides"/>
            <wp:docPr id="1" name="Imagen 1" descr="Macintosh HD:Users:peplluisbauzaquetglas:Desktop:Urología HUSE:Urinotórax:Figu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plluisbauzaquetglas:Desktop:Urología HUSE:Urinotórax:Figura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1485" cy="2628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noProof/>
          <w:lang w:eastAsia="es-ES"/>
        </w:rPr>
        <w:drawing>
          <wp:anchor distT="0" distB="0" distL="114300" distR="114300" simplePos="0" relativeHeight="251660288" behindDoc="0" locked="0" layoutInCell="1" allowOverlap="1" wp14:anchorId="4A4942E8" wp14:editId="7798980B">
            <wp:simplePos x="0" y="0"/>
            <wp:positionH relativeFrom="column">
              <wp:posOffset>2743835</wp:posOffset>
            </wp:positionH>
            <wp:positionV relativeFrom="paragraph">
              <wp:posOffset>149860</wp:posOffset>
            </wp:positionV>
            <wp:extent cx="3089275" cy="2612390"/>
            <wp:effectExtent l="0" t="0" r="9525" b="3810"/>
            <wp:wrapSquare wrapText="bothSides"/>
            <wp:docPr id="2" name="Imagen 2" descr="Macintosh HD:Users:peplluisbauzaquetglas:Desktop:Urología HUSE:Urinotórax:Figu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plluisbauzaquetglas:Desktop:Urología HUSE:Urinotórax:Figura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9275" cy="26123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40DCF10" w14:textId="10CD7667" w:rsidR="00106CBB" w:rsidRDefault="00106CBB" w:rsidP="001C7704">
      <w:pPr>
        <w:spacing w:line="360" w:lineRule="auto"/>
        <w:jc w:val="both"/>
        <w:rPr>
          <w:rFonts w:ascii="Arial" w:hAnsi="Arial" w:cs="Arial"/>
        </w:rPr>
      </w:pPr>
      <w:r>
        <w:rPr>
          <w:rFonts w:ascii="Arial" w:hAnsi="Arial" w:cs="Arial"/>
        </w:rPr>
        <w:t xml:space="preserve">Figuras 1 y 2. </w:t>
      </w:r>
    </w:p>
    <w:p w14:paraId="3543FBE0" w14:textId="77777777" w:rsidR="00106CBB" w:rsidRDefault="00106CBB" w:rsidP="001C7704">
      <w:pPr>
        <w:spacing w:line="360" w:lineRule="auto"/>
        <w:jc w:val="both"/>
        <w:rPr>
          <w:rFonts w:ascii="Arial" w:hAnsi="Arial" w:cs="Arial"/>
        </w:rPr>
      </w:pPr>
    </w:p>
    <w:p w14:paraId="6BDB7246" w14:textId="77777777" w:rsidR="00106CBB" w:rsidRDefault="00B54D94" w:rsidP="001C7704">
      <w:pPr>
        <w:spacing w:line="360" w:lineRule="auto"/>
        <w:jc w:val="both"/>
        <w:rPr>
          <w:rFonts w:ascii="Arial" w:hAnsi="Arial" w:cs="Arial"/>
        </w:rPr>
      </w:pPr>
      <w:r w:rsidRPr="00904460">
        <w:rPr>
          <w:rFonts w:ascii="Arial" w:hAnsi="Arial" w:cs="Arial"/>
        </w:rPr>
        <w:t xml:space="preserve">Se realiza TC </w:t>
      </w:r>
      <w:proofErr w:type="spellStart"/>
      <w:r w:rsidRPr="00904460">
        <w:rPr>
          <w:rFonts w:ascii="Arial" w:hAnsi="Arial" w:cs="Arial"/>
        </w:rPr>
        <w:t>tó</w:t>
      </w:r>
      <w:r w:rsidR="00942A29" w:rsidRPr="00904460">
        <w:rPr>
          <w:rFonts w:ascii="Arial" w:hAnsi="Arial" w:cs="Arial"/>
        </w:rPr>
        <w:t>raco</w:t>
      </w:r>
      <w:proofErr w:type="spellEnd"/>
      <w:r w:rsidR="00942A29" w:rsidRPr="00904460">
        <w:rPr>
          <w:rFonts w:ascii="Arial" w:hAnsi="Arial" w:cs="Arial"/>
        </w:rPr>
        <w:t xml:space="preserve">-abdominal donde se observa </w:t>
      </w:r>
      <w:r w:rsidR="001C7704" w:rsidRPr="00904460">
        <w:rPr>
          <w:rFonts w:ascii="Arial" w:hAnsi="Arial" w:cs="Arial"/>
        </w:rPr>
        <w:t>riñó</w:t>
      </w:r>
      <w:r w:rsidR="00942A29" w:rsidRPr="00904460">
        <w:rPr>
          <w:rFonts w:ascii="Arial" w:hAnsi="Arial" w:cs="Arial"/>
        </w:rPr>
        <w:t xml:space="preserve">n derecho </w:t>
      </w:r>
      <w:proofErr w:type="spellStart"/>
      <w:r w:rsidR="00942A29" w:rsidRPr="00904460">
        <w:rPr>
          <w:rFonts w:ascii="Arial" w:hAnsi="Arial" w:cs="Arial"/>
        </w:rPr>
        <w:t>poliquístico</w:t>
      </w:r>
      <w:proofErr w:type="spellEnd"/>
      <w:r w:rsidR="00942A29" w:rsidRPr="00904460">
        <w:rPr>
          <w:rFonts w:ascii="Arial" w:hAnsi="Arial" w:cs="Arial"/>
        </w:rPr>
        <w:t xml:space="preserve"> con hidronefrosis grado IV y  sospecha de  fístula </w:t>
      </w:r>
      <w:proofErr w:type="spellStart"/>
      <w:r w:rsidR="00942A29" w:rsidRPr="00904460">
        <w:rPr>
          <w:rFonts w:ascii="Arial" w:hAnsi="Arial" w:cs="Arial"/>
        </w:rPr>
        <w:t>nefro</w:t>
      </w:r>
      <w:proofErr w:type="spellEnd"/>
      <w:r w:rsidR="00942A29" w:rsidRPr="00904460">
        <w:rPr>
          <w:rFonts w:ascii="Arial" w:hAnsi="Arial" w:cs="Arial"/>
        </w:rPr>
        <w:t>-pleural</w:t>
      </w:r>
      <w:r w:rsidR="000D5BAA">
        <w:rPr>
          <w:rFonts w:ascii="Arial" w:hAnsi="Arial" w:cs="Arial"/>
        </w:rPr>
        <w:t xml:space="preserve"> (</w:t>
      </w:r>
      <w:r w:rsidR="000D5BAA" w:rsidRPr="000D5BAA">
        <w:rPr>
          <w:rFonts w:ascii="Arial" w:hAnsi="Arial" w:cs="Arial"/>
          <w:i/>
        </w:rPr>
        <w:t>Fig. 2</w:t>
      </w:r>
      <w:r w:rsidR="000D5BAA">
        <w:rPr>
          <w:rFonts w:ascii="Arial" w:hAnsi="Arial" w:cs="Arial"/>
        </w:rPr>
        <w:t>)</w:t>
      </w:r>
      <w:r w:rsidR="00942A29" w:rsidRPr="00904460">
        <w:rPr>
          <w:rFonts w:ascii="Arial" w:hAnsi="Arial" w:cs="Arial"/>
        </w:rPr>
        <w:t xml:space="preserve">. Se repite </w:t>
      </w:r>
      <w:proofErr w:type="spellStart"/>
      <w:r w:rsidR="00942A29" w:rsidRPr="00904460">
        <w:rPr>
          <w:rFonts w:ascii="Arial" w:hAnsi="Arial" w:cs="Arial"/>
        </w:rPr>
        <w:t>toracocentesis</w:t>
      </w:r>
      <w:proofErr w:type="spellEnd"/>
      <w:r w:rsidR="00465620" w:rsidRPr="00904460">
        <w:rPr>
          <w:rFonts w:ascii="Arial" w:hAnsi="Arial" w:cs="Arial"/>
        </w:rPr>
        <w:t xml:space="preserve">, </w:t>
      </w:r>
      <w:r w:rsidR="00942A29" w:rsidRPr="00904460">
        <w:rPr>
          <w:rFonts w:ascii="Arial" w:hAnsi="Arial" w:cs="Arial"/>
        </w:rPr>
        <w:t>evidenciando cociente de creatinina ent</w:t>
      </w:r>
      <w:r w:rsidR="002027B5" w:rsidRPr="00904460">
        <w:rPr>
          <w:rFonts w:ascii="Arial" w:hAnsi="Arial" w:cs="Arial"/>
        </w:rPr>
        <w:t xml:space="preserve">re líquido pleural y plasmático mayor de 1 </w:t>
      </w:r>
      <w:r w:rsidR="00942A29" w:rsidRPr="00904460">
        <w:rPr>
          <w:rFonts w:ascii="Arial" w:hAnsi="Arial" w:cs="Arial"/>
        </w:rPr>
        <w:t>(1.35 mg/dl)</w:t>
      </w:r>
      <w:r w:rsidR="00465620" w:rsidRPr="00904460">
        <w:rPr>
          <w:rFonts w:ascii="Arial" w:hAnsi="Arial" w:cs="Arial"/>
        </w:rPr>
        <w:t>,</w:t>
      </w:r>
      <w:r w:rsidRPr="00904460">
        <w:rPr>
          <w:rFonts w:ascii="Arial" w:hAnsi="Arial" w:cs="Arial"/>
        </w:rPr>
        <w:t xml:space="preserve"> </w:t>
      </w:r>
      <w:r w:rsidR="00942A29" w:rsidRPr="00904460">
        <w:rPr>
          <w:rFonts w:ascii="Arial" w:hAnsi="Arial" w:cs="Arial"/>
        </w:rPr>
        <w:t>criterio diagnóstico d</w:t>
      </w:r>
      <w:r w:rsidR="00465620" w:rsidRPr="00904460">
        <w:rPr>
          <w:rFonts w:ascii="Arial" w:hAnsi="Arial" w:cs="Arial"/>
        </w:rPr>
        <w:t>e urinotórax</w:t>
      </w:r>
      <w:r w:rsidR="00C91111" w:rsidRPr="00904460">
        <w:rPr>
          <w:rFonts w:ascii="Arial" w:hAnsi="Arial" w:cs="Arial"/>
        </w:rPr>
        <w:fldChar w:fldCharType="begin" w:fldLock="1"/>
      </w:r>
      <w:r w:rsidR="00A04DE9" w:rsidRPr="00904460">
        <w:rPr>
          <w:rFonts w:ascii="Arial" w:hAnsi="Arial" w:cs="Arial"/>
        </w:rPr>
        <w:instrText>ADDIN CSL_CITATION {"citationItems":[{"id":"ITEM-1","itemData":{"DOI":"10.1016/j.amjms.2017.03.034","abstract":"Urinothorax is an uncommon thoracic complication of genitourinary (GU) tract disease, which is most frequently caused by obstructive uropathy, but may also occur as a result of iatrogenic or traumatic GU injury. It is underrecognized because of a perceived notion as to the rarity of the diagnosis and the absence of established diagnostic criteria. Urinothorax is typically described as a paucicellular, transudative pleural effusion with a pleural fluid/serum creatinine ratio 41.0. It is the only transudate associated with pleural fluid acidosis (pH o 7.40). When the pleural fluid analysis demonstrates features of a transudate, pH o7.40 and a pleural fluid/serum creatinine ratio 41.0, a confident clinical diagnosis of urinothorax can be established. A technetium 99m renal scan can be considered a confirmatory test in patients who lack the typical pleural fluid analysis features or fail to demonstrate evidence of obstructive uropathy that can be identified via conventional radiographic modalities. Management of a urinothorax requires a multidisciplinary approach with an emphasis on the correction of the underlying GU tract pathology, and once corrected, this often leads to a rapid resolution of the pleural effusion.","author":[{"dropping-particle":"","family":"Austin","given":"Adam","non-dropping-particle":"","parse-names":false,"suffix":""},{"dropping-particle":"","family":"Jogani","given":"Sidharth Navin","non-dropping-particle":"","parse-names":false,"suffix":""},{"dropping-particle":"","family":"Brasher","given":"Paul Bradley","non-dropping-particle":"","parse-names":false,"suffix":""},{"dropping-particle":"","family":"Argula","given":"Rahul Gupta","non-dropping-particle":"","parse-names":false,"suffix":""},{"dropping-particle":"","family":"Huggins","given":"John Terrill","non-dropping-particle":"","parse-names":false,"suffix":""},{"dropping-particle":"","family":"Chopra","given":"Amit","non-dropping-particle":"","parse-names":false,"suffix":""}],"container-title":"Am J Med Sci","id":"ITEM-1","issue":"1","issued":{"date-parts":[["2017"]]},"page":"44-53","title":"The Urinothorax: A Comprehensive Review With Case Series","type":"article-journal","volume":"354"},"uris":["http://www.mendeley.com/documents/?uuid=665ae4e6-f115-3291-af33-c4e57330d492"]}],"mendeley":{"formattedCitation":"&lt;sup&gt;1&lt;/sup&gt;","plainTextFormattedCitation":"1","previouslyFormattedCitation":"&lt;sup&gt;1&lt;/sup&gt;"},"properties":{"noteIndex":0},"schema":"https://github.com/citation-style-language/schema/raw/master/csl-citation.json"}</w:instrText>
      </w:r>
      <w:r w:rsidR="00C91111" w:rsidRPr="00904460">
        <w:rPr>
          <w:rFonts w:ascii="Arial" w:hAnsi="Arial" w:cs="Arial"/>
        </w:rPr>
        <w:fldChar w:fldCharType="separate"/>
      </w:r>
      <w:r w:rsidR="00C91111" w:rsidRPr="00904460">
        <w:rPr>
          <w:rFonts w:ascii="Arial" w:hAnsi="Arial" w:cs="Arial"/>
          <w:noProof/>
          <w:vertAlign w:val="superscript"/>
        </w:rPr>
        <w:t>1</w:t>
      </w:r>
      <w:r w:rsidR="00C91111" w:rsidRPr="00904460">
        <w:rPr>
          <w:rFonts w:ascii="Arial" w:hAnsi="Arial" w:cs="Arial"/>
        </w:rPr>
        <w:fldChar w:fldCharType="end"/>
      </w:r>
      <w:r w:rsidR="00465620" w:rsidRPr="00904460">
        <w:rPr>
          <w:rFonts w:ascii="Arial" w:hAnsi="Arial" w:cs="Arial"/>
        </w:rPr>
        <w:t xml:space="preserve">. Finalmente, </w:t>
      </w:r>
      <w:r w:rsidR="00942A29" w:rsidRPr="00904460">
        <w:rPr>
          <w:rFonts w:ascii="Arial" w:hAnsi="Arial" w:cs="Arial"/>
        </w:rPr>
        <w:t>se</w:t>
      </w:r>
      <w:r w:rsidR="00465620" w:rsidRPr="00904460">
        <w:rPr>
          <w:rFonts w:ascii="Arial" w:hAnsi="Arial" w:cs="Arial"/>
        </w:rPr>
        <w:t xml:space="preserve"> realiza </w:t>
      </w:r>
      <w:proofErr w:type="spellStart"/>
      <w:r w:rsidR="00465620" w:rsidRPr="00904460">
        <w:rPr>
          <w:rFonts w:ascii="Arial" w:hAnsi="Arial" w:cs="Arial"/>
        </w:rPr>
        <w:t>pielografía</w:t>
      </w:r>
      <w:proofErr w:type="spellEnd"/>
      <w:r w:rsidR="00465620" w:rsidRPr="00904460">
        <w:rPr>
          <w:rFonts w:ascii="Arial" w:hAnsi="Arial" w:cs="Arial"/>
        </w:rPr>
        <w:t xml:space="preserve"> retrógrada </w:t>
      </w:r>
      <w:r w:rsidR="002027B5" w:rsidRPr="00904460">
        <w:rPr>
          <w:rFonts w:ascii="Arial" w:hAnsi="Arial" w:cs="Arial"/>
        </w:rPr>
        <w:t xml:space="preserve">que confirma el </w:t>
      </w:r>
      <w:r w:rsidR="00942A29" w:rsidRPr="00904460">
        <w:rPr>
          <w:rFonts w:ascii="Arial" w:hAnsi="Arial" w:cs="Arial"/>
        </w:rPr>
        <w:t>paso de contenido de vías urinarias a cavidad pleural (</w:t>
      </w:r>
      <w:r w:rsidR="00942A29" w:rsidRPr="00904460">
        <w:rPr>
          <w:rFonts w:ascii="Arial" w:hAnsi="Arial" w:cs="Arial"/>
          <w:i/>
        </w:rPr>
        <w:t>Fig</w:t>
      </w:r>
      <w:r w:rsidR="00942A29" w:rsidRPr="00904460">
        <w:rPr>
          <w:rFonts w:ascii="Arial" w:hAnsi="Arial" w:cs="Arial"/>
        </w:rPr>
        <w:t>.</w:t>
      </w:r>
      <w:r w:rsidR="001C7704" w:rsidRPr="00904460">
        <w:rPr>
          <w:rFonts w:ascii="Arial" w:hAnsi="Arial" w:cs="Arial"/>
        </w:rPr>
        <w:t xml:space="preserve"> </w:t>
      </w:r>
      <w:r w:rsidR="000D5BAA">
        <w:rPr>
          <w:rFonts w:ascii="Arial" w:hAnsi="Arial" w:cs="Arial"/>
        </w:rPr>
        <w:t>3</w:t>
      </w:r>
      <w:r w:rsidR="00942A29" w:rsidRPr="00904460">
        <w:rPr>
          <w:rFonts w:ascii="Arial" w:hAnsi="Arial" w:cs="Arial"/>
        </w:rPr>
        <w:t xml:space="preserve">). </w:t>
      </w:r>
    </w:p>
    <w:p w14:paraId="2F30A97F" w14:textId="77777777" w:rsidR="00106CBB" w:rsidRDefault="00106CBB" w:rsidP="001C7704">
      <w:pPr>
        <w:spacing w:line="360" w:lineRule="auto"/>
        <w:jc w:val="both"/>
        <w:rPr>
          <w:rFonts w:ascii="Arial" w:hAnsi="Arial" w:cs="Arial"/>
        </w:rPr>
      </w:pPr>
    </w:p>
    <w:p w14:paraId="78E327BA" w14:textId="77777777" w:rsidR="00106CBB" w:rsidRDefault="00106CBB" w:rsidP="001C7704">
      <w:pPr>
        <w:spacing w:line="360" w:lineRule="auto"/>
        <w:jc w:val="both"/>
        <w:rPr>
          <w:rFonts w:ascii="Arial" w:hAnsi="Arial" w:cs="Arial"/>
        </w:rPr>
      </w:pPr>
    </w:p>
    <w:p w14:paraId="3D780C6C" w14:textId="77777777" w:rsidR="00106CBB" w:rsidRDefault="00106CBB" w:rsidP="001C7704">
      <w:pPr>
        <w:spacing w:line="360" w:lineRule="auto"/>
        <w:jc w:val="both"/>
        <w:rPr>
          <w:rFonts w:ascii="Arial" w:hAnsi="Arial" w:cs="Arial"/>
        </w:rPr>
      </w:pPr>
    </w:p>
    <w:p w14:paraId="41815CD5" w14:textId="4565ED9F" w:rsidR="00106CBB" w:rsidRDefault="00106CBB" w:rsidP="001C7704">
      <w:pPr>
        <w:spacing w:line="360" w:lineRule="auto"/>
        <w:jc w:val="both"/>
        <w:rPr>
          <w:rFonts w:ascii="Arial" w:hAnsi="Arial" w:cs="Arial"/>
        </w:rPr>
      </w:pPr>
      <w:r>
        <w:rPr>
          <w:rFonts w:ascii="Arial" w:hAnsi="Arial" w:cs="Arial"/>
          <w:noProof/>
          <w:lang w:eastAsia="es-ES"/>
        </w:rPr>
        <w:lastRenderedPageBreak/>
        <w:drawing>
          <wp:inline distT="0" distB="0" distL="0" distR="0" wp14:anchorId="7259BBF5" wp14:editId="778CA5FA">
            <wp:extent cx="2989341" cy="2971050"/>
            <wp:effectExtent l="0" t="0" r="8255" b="1270"/>
            <wp:docPr id="3" name="Imagen 3" descr="Macintosh HD:Users:peplluisbauzaquetglas:Desktop:Urología HUSE:Urinotórax:Figur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plluisbauzaquetglas:Desktop:Urología HUSE:Urinotórax:Figura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1136" cy="2972834"/>
                    </a:xfrm>
                    <a:prstGeom prst="rect">
                      <a:avLst/>
                    </a:prstGeom>
                    <a:noFill/>
                    <a:ln>
                      <a:noFill/>
                    </a:ln>
                  </pic:spPr>
                </pic:pic>
              </a:graphicData>
            </a:graphic>
          </wp:inline>
        </w:drawing>
      </w:r>
    </w:p>
    <w:p w14:paraId="7C8996AA" w14:textId="49AFEFE4" w:rsidR="00106CBB" w:rsidRDefault="00106CBB" w:rsidP="001C7704">
      <w:pPr>
        <w:spacing w:line="360" w:lineRule="auto"/>
        <w:jc w:val="both"/>
        <w:rPr>
          <w:rFonts w:ascii="Arial" w:hAnsi="Arial" w:cs="Arial"/>
        </w:rPr>
      </w:pPr>
      <w:r>
        <w:rPr>
          <w:rFonts w:ascii="Arial" w:hAnsi="Arial" w:cs="Arial"/>
        </w:rPr>
        <w:t xml:space="preserve">Figura 3. </w:t>
      </w:r>
    </w:p>
    <w:p w14:paraId="7D92D1E5" w14:textId="77777777" w:rsidR="00106CBB" w:rsidRDefault="00106CBB" w:rsidP="001C7704">
      <w:pPr>
        <w:spacing w:line="360" w:lineRule="auto"/>
        <w:jc w:val="both"/>
        <w:rPr>
          <w:rFonts w:ascii="Arial" w:hAnsi="Arial" w:cs="Arial"/>
        </w:rPr>
      </w:pPr>
    </w:p>
    <w:p w14:paraId="2E65D95E" w14:textId="5CBBE442" w:rsidR="00942A29" w:rsidRPr="00904460" w:rsidRDefault="00942A29" w:rsidP="001C7704">
      <w:pPr>
        <w:spacing w:line="360" w:lineRule="auto"/>
        <w:jc w:val="both"/>
        <w:rPr>
          <w:rFonts w:ascii="Arial" w:hAnsi="Arial" w:cs="Arial"/>
        </w:rPr>
      </w:pPr>
      <w:r w:rsidRPr="00904460">
        <w:rPr>
          <w:rFonts w:ascii="Arial" w:hAnsi="Arial" w:cs="Arial"/>
        </w:rPr>
        <w:t>Se coloca tubo de drenaj</w:t>
      </w:r>
      <w:r w:rsidR="008D6A6B" w:rsidRPr="00904460">
        <w:rPr>
          <w:rFonts w:ascii="Arial" w:hAnsi="Arial" w:cs="Arial"/>
        </w:rPr>
        <w:t xml:space="preserve">e torácico y  </w:t>
      </w:r>
      <w:proofErr w:type="spellStart"/>
      <w:r w:rsidR="008D6A6B" w:rsidRPr="00904460">
        <w:rPr>
          <w:rFonts w:ascii="Arial" w:hAnsi="Arial" w:cs="Arial"/>
          <w:color w:val="000000"/>
        </w:rPr>
        <w:t>nefrostomía</w:t>
      </w:r>
      <w:proofErr w:type="spellEnd"/>
      <w:r w:rsidR="008D6A6B" w:rsidRPr="00904460">
        <w:rPr>
          <w:rFonts w:ascii="Arial" w:hAnsi="Arial" w:cs="Arial"/>
          <w:color w:val="000000"/>
        </w:rPr>
        <w:t xml:space="preserve"> con trayecto a través de cáliz superior</w:t>
      </w:r>
      <w:r w:rsidR="00B54D94" w:rsidRPr="00904460">
        <w:rPr>
          <w:rFonts w:ascii="Arial" w:hAnsi="Arial" w:cs="Arial"/>
        </w:rPr>
        <w:t>, a</w:t>
      </w:r>
      <w:r w:rsidRPr="00904460">
        <w:rPr>
          <w:rFonts w:ascii="Arial" w:hAnsi="Arial" w:cs="Arial"/>
        </w:rPr>
        <w:t>mbos con salida de material purulento. Tras u</w:t>
      </w:r>
      <w:r w:rsidR="000223B3" w:rsidRPr="00904460">
        <w:rPr>
          <w:rFonts w:ascii="Arial" w:hAnsi="Arial" w:cs="Arial"/>
        </w:rPr>
        <w:t xml:space="preserve">n mes se realiza TC de control </w:t>
      </w:r>
      <w:r w:rsidRPr="00904460">
        <w:rPr>
          <w:rFonts w:ascii="Arial" w:hAnsi="Arial" w:cs="Arial"/>
        </w:rPr>
        <w:t xml:space="preserve">que muestra riñón atrófico y disminución del calibre del </w:t>
      </w:r>
      <w:r w:rsidR="001C7704" w:rsidRPr="00904460">
        <w:rPr>
          <w:rFonts w:ascii="Arial" w:hAnsi="Arial" w:cs="Arial"/>
        </w:rPr>
        <w:t>trayecto fi</w:t>
      </w:r>
      <w:r w:rsidRPr="00904460">
        <w:rPr>
          <w:rFonts w:ascii="Arial" w:hAnsi="Arial" w:cs="Arial"/>
        </w:rPr>
        <w:t>stuloso.</w:t>
      </w:r>
      <w:r w:rsidR="00A04DE9" w:rsidRPr="00904460">
        <w:rPr>
          <w:rFonts w:ascii="Arial" w:hAnsi="Arial" w:cs="Arial"/>
        </w:rPr>
        <w:t xml:space="preserve"> </w:t>
      </w:r>
      <w:r w:rsidRPr="00904460">
        <w:rPr>
          <w:rFonts w:ascii="Arial" w:hAnsi="Arial" w:cs="Arial"/>
        </w:rPr>
        <w:t xml:space="preserve"> </w:t>
      </w:r>
    </w:p>
    <w:p w14:paraId="5508650D" w14:textId="0C4FCC79" w:rsidR="00CF5DB0" w:rsidRPr="00904460" w:rsidRDefault="00904460" w:rsidP="001C7704">
      <w:pPr>
        <w:spacing w:line="360" w:lineRule="auto"/>
        <w:jc w:val="both"/>
        <w:rPr>
          <w:rFonts w:ascii="Arial" w:hAnsi="Arial" w:cs="Arial"/>
        </w:rPr>
      </w:pPr>
      <w:r>
        <w:rPr>
          <w:rFonts w:ascii="Arial" w:hAnsi="Arial" w:cs="Arial"/>
        </w:rPr>
        <w:t xml:space="preserve">El </w:t>
      </w:r>
      <w:proofErr w:type="spellStart"/>
      <w:r>
        <w:rPr>
          <w:rFonts w:ascii="Arial" w:hAnsi="Arial" w:cs="Arial"/>
        </w:rPr>
        <w:t>urinotórax</w:t>
      </w:r>
      <w:proofErr w:type="spellEnd"/>
      <w:r>
        <w:rPr>
          <w:rFonts w:ascii="Arial" w:hAnsi="Arial" w:cs="Arial"/>
        </w:rPr>
        <w:t xml:space="preserve"> es una patología infrecuente y habitualmente </w:t>
      </w:r>
      <w:proofErr w:type="spellStart"/>
      <w:r>
        <w:rPr>
          <w:rFonts w:ascii="Arial" w:hAnsi="Arial" w:cs="Arial"/>
        </w:rPr>
        <w:t>infradiagnosticada</w:t>
      </w:r>
      <w:proofErr w:type="spellEnd"/>
      <w:r>
        <w:rPr>
          <w:rFonts w:ascii="Arial" w:hAnsi="Arial" w:cs="Arial"/>
        </w:rPr>
        <w:t xml:space="preserve">, con pocos casos descritos en la literatura. Se presenta generalmente como un derrame pleural </w:t>
      </w:r>
      <w:proofErr w:type="spellStart"/>
      <w:r>
        <w:rPr>
          <w:rFonts w:ascii="Arial" w:hAnsi="Arial" w:cs="Arial"/>
        </w:rPr>
        <w:t>transudativo</w:t>
      </w:r>
      <w:proofErr w:type="spellEnd"/>
      <w:r>
        <w:rPr>
          <w:rFonts w:ascii="Arial" w:hAnsi="Arial" w:cs="Arial"/>
        </w:rPr>
        <w:t>. Actualmente, no existe ningún test que confirme el diagnóstico, aunque la ratio creatinina plasmática/creatinina pleural puede sugerir la presencia de un urinotórax</w:t>
      </w:r>
      <w:r>
        <w:rPr>
          <w:rFonts w:ascii="Arial" w:hAnsi="Arial" w:cs="Arial"/>
        </w:rPr>
        <w:fldChar w:fldCharType="begin" w:fldLock="1"/>
      </w:r>
      <w:r>
        <w:rPr>
          <w:rFonts w:ascii="Arial" w:hAnsi="Arial" w:cs="Arial"/>
        </w:rPr>
        <w:instrText>ADDIN CSL_CITATION {"citationItems":[{"id":"ITEM-1","itemData":{"DOI":"10.1016/j.rmr.2017.10.665","abstract":"Résumé L'urinothorax correspond à la présence d'urine dans la cavité pleurale. Il s'agit d'une pathologie peu fréquente, sous diagnostiquée et souvent suspectée a posteriori. Habituelle-ment, il s'agit d'un transsudat. Nous rapportons le cas d'une patiente dont l'urinothorax est révélé par une pleurésie purulente. La désobstruction des voies urinaires et l'instauration d'une antibiothérapie adaptée ont permis une régression quasi-complète de l'épanchement pleural. Actuellement, aucun test paraclinique ne semble être spécifique de l'urinothorax. En revanche, il semble que le ratio créatinine pleurale sur créatinine sérique puisse orienter vers ce diagnostic mais des études complémentaires semblent nécessaires pour valider ce paramètre biologique. De manière générale, tout geste urologique récent associé à l'apparition d'une pleurésie doit faire suspecter un urinothorax. Summary Urinothorax refers to the presence of urine in the pleural space. Urinothorax is an infrequent and underdiagnosed pathology, with few cases reported, and these often sus-pected only with hindsight. It is usually a transudative pleural effusion. We report a case of urinothorax presenting as a purulent pleural effusion. Management of the urinothorax required antibiotics and surgical unblocking of the urinary tract. Currently, no test is available to confirm the diagnosis. The ratio of serum creatinine/pleural creatinine could suggest the presence of urinothorax but this parameter needs to be validated by complementary studies. Urinothorax should be suspected in the context of pleural effusion occurring after a recent urologic surgery.","author":[{"dropping-particle":"","family":"Vergne","given":"F","non-dropping-particle":"","parse-names":false,"suffix":""},{"dropping-particle":"","family":"Mao","given":"R","non-dropping-particle":"Le","parse-names":false,"suffix":""},{"dropping-particle":"","family":"Simonin","given":"L","non-dropping-particle":"","parse-names":false,"suffix":""},{"dropping-particle":"","family":"Descourt","given":"R","non-dropping-particle":"","parse-names":false,"suffix":""},{"dropping-particle":"","family":"Couturaud","given":"F","non-dropping-particle":"","parse-names":false,"suffix":""},{"dropping-particle":"","family":"Barnier","given":"A","non-dropping-particle":"","parse-names":false,"suffix":""},{"dropping-particle":"","family":"Tromeur","given":"C","non-dropping-particle":"","parse-names":false,"suffix":""}],"container-title":"Revue des Maladies Respiratoires","id":"ITEM-1","issued":{"date-parts":[["2018"]]},"page":"567-570","title":"Une pleurésie très inhabituelle","type":"article-journal","volume":"35"},"uris":["http://www.mendeley.com/documents/?uuid=5c59f9bd-65a8-368e-915d-31ae1df3ae53"]}],"mendeley":{"formattedCitation":"&lt;sup&gt;2&lt;/sup&gt;","plainTextFormattedCitation":"2","previouslyFormattedCitation":"&lt;sup&gt;2&lt;/sup&gt;"},"properties":{"noteIndex":0},"schema":"https://github.com/citation-style-language/schema/raw/master/csl-citation.json"}</w:instrText>
      </w:r>
      <w:r>
        <w:rPr>
          <w:rFonts w:ascii="Arial" w:hAnsi="Arial" w:cs="Arial"/>
        </w:rPr>
        <w:fldChar w:fldCharType="separate"/>
      </w:r>
      <w:r w:rsidRPr="00904460">
        <w:rPr>
          <w:rFonts w:ascii="Arial" w:hAnsi="Arial" w:cs="Arial"/>
          <w:noProof/>
          <w:vertAlign w:val="superscript"/>
        </w:rPr>
        <w:t>2</w:t>
      </w:r>
      <w:r>
        <w:rPr>
          <w:rFonts w:ascii="Arial" w:hAnsi="Arial" w:cs="Arial"/>
        </w:rPr>
        <w:fldChar w:fldCharType="end"/>
      </w:r>
      <w:r>
        <w:rPr>
          <w:rFonts w:ascii="Arial" w:hAnsi="Arial" w:cs="Arial"/>
        </w:rPr>
        <w:t xml:space="preserve">. Las pruebas de imagen también pueden resultar útiles para apoyar el diagnóstico. El manejo de un </w:t>
      </w:r>
      <w:proofErr w:type="spellStart"/>
      <w:r>
        <w:rPr>
          <w:rFonts w:ascii="Arial" w:hAnsi="Arial" w:cs="Arial"/>
        </w:rPr>
        <w:t>urinotórax</w:t>
      </w:r>
      <w:proofErr w:type="spellEnd"/>
      <w:r>
        <w:rPr>
          <w:rFonts w:ascii="Arial" w:hAnsi="Arial" w:cs="Arial"/>
        </w:rPr>
        <w:t xml:space="preserve"> requiere un abordaje multidisciplinar, prestando especial interés en la corrección de la patología urinaria subyacente. Una vez corregida, habitualmente conduce a una rápida resolución del derrame pleural. </w:t>
      </w:r>
    </w:p>
    <w:p w14:paraId="1450A8E4" w14:textId="77777777" w:rsidR="000223B3" w:rsidRPr="00904460" w:rsidRDefault="000223B3" w:rsidP="001C7704">
      <w:pPr>
        <w:spacing w:line="360" w:lineRule="auto"/>
        <w:jc w:val="both"/>
        <w:rPr>
          <w:rFonts w:ascii="Arial" w:hAnsi="Arial" w:cs="Arial"/>
        </w:rPr>
      </w:pPr>
    </w:p>
    <w:p w14:paraId="05900B69" w14:textId="6ED6FB94" w:rsidR="00CF5DB0" w:rsidRPr="00904460" w:rsidRDefault="00904460" w:rsidP="00CF5DB0">
      <w:pPr>
        <w:rPr>
          <w:rFonts w:ascii="Arial" w:eastAsia="Times New Roman" w:hAnsi="Arial" w:cs="Arial"/>
          <w:b/>
          <w:lang w:val="es-ES_tradnl" w:eastAsia="es-ES"/>
        </w:rPr>
      </w:pPr>
      <w:r w:rsidRPr="00904460">
        <w:rPr>
          <w:rFonts w:ascii="Arial" w:eastAsia="Times New Roman" w:hAnsi="Arial" w:cs="Arial"/>
          <w:b/>
          <w:lang w:val="es-ES_tradnl" w:eastAsia="es-ES"/>
        </w:rPr>
        <w:t xml:space="preserve">Bibliografía: </w:t>
      </w:r>
    </w:p>
    <w:p w14:paraId="75E2C90E" w14:textId="1E915328" w:rsidR="00904460" w:rsidRPr="00904460" w:rsidRDefault="00904460" w:rsidP="00904460">
      <w:pPr>
        <w:widowControl w:val="0"/>
        <w:autoSpaceDE w:val="0"/>
        <w:autoSpaceDN w:val="0"/>
        <w:adjustRightInd w:val="0"/>
        <w:spacing w:line="240" w:lineRule="auto"/>
        <w:ind w:left="640" w:hanging="640"/>
        <w:rPr>
          <w:rFonts w:ascii="Arial" w:hAnsi="Arial" w:cs="Arial"/>
          <w:noProof/>
          <w:szCs w:val="24"/>
        </w:rPr>
      </w:pPr>
      <w:r>
        <w:rPr>
          <w:rFonts w:ascii="Arial" w:eastAsia="Times New Roman" w:hAnsi="Arial" w:cs="Arial"/>
          <w:lang w:val="es-ES_tradnl" w:eastAsia="es-ES"/>
        </w:rPr>
        <w:fldChar w:fldCharType="begin" w:fldLock="1"/>
      </w:r>
      <w:r>
        <w:rPr>
          <w:rFonts w:ascii="Arial" w:eastAsia="Times New Roman" w:hAnsi="Arial" w:cs="Arial"/>
          <w:lang w:val="es-ES_tradnl" w:eastAsia="es-ES"/>
        </w:rPr>
        <w:instrText xml:space="preserve">ADDIN Mendeley Bibliography CSL_BIBLIOGRAPHY </w:instrText>
      </w:r>
      <w:r>
        <w:rPr>
          <w:rFonts w:ascii="Arial" w:eastAsia="Times New Roman" w:hAnsi="Arial" w:cs="Arial"/>
          <w:lang w:val="es-ES_tradnl" w:eastAsia="es-ES"/>
        </w:rPr>
        <w:fldChar w:fldCharType="separate"/>
      </w:r>
      <w:r w:rsidRPr="00904460">
        <w:rPr>
          <w:rFonts w:ascii="Arial" w:hAnsi="Arial" w:cs="Arial"/>
          <w:noProof/>
          <w:szCs w:val="24"/>
        </w:rPr>
        <w:t xml:space="preserve">1. </w:t>
      </w:r>
      <w:r w:rsidRPr="00904460">
        <w:rPr>
          <w:rFonts w:ascii="Arial" w:hAnsi="Arial" w:cs="Arial"/>
          <w:noProof/>
          <w:szCs w:val="24"/>
        </w:rPr>
        <w:tab/>
        <w:t xml:space="preserve">Austin A, Jogani SN, Brasher PB, Argula RG, Huggins JT, Chopra A. The Urinothorax: A Comprehensive Review With Case Series. </w:t>
      </w:r>
      <w:r w:rsidRPr="00904460">
        <w:rPr>
          <w:rFonts w:ascii="Arial" w:hAnsi="Arial" w:cs="Arial"/>
          <w:i/>
          <w:iCs/>
          <w:noProof/>
          <w:szCs w:val="24"/>
        </w:rPr>
        <w:t>Am J Med Sci</w:t>
      </w:r>
      <w:r w:rsidRPr="00904460">
        <w:rPr>
          <w:rFonts w:ascii="Arial" w:hAnsi="Arial" w:cs="Arial"/>
          <w:noProof/>
          <w:szCs w:val="24"/>
        </w:rPr>
        <w:t>. 2017;354(1):44-53. doi:10.1016/j.amjms.2017.03.034</w:t>
      </w:r>
    </w:p>
    <w:p w14:paraId="18480916" w14:textId="77777777" w:rsidR="00904460" w:rsidRPr="00904460" w:rsidRDefault="00904460" w:rsidP="00904460">
      <w:pPr>
        <w:widowControl w:val="0"/>
        <w:autoSpaceDE w:val="0"/>
        <w:autoSpaceDN w:val="0"/>
        <w:adjustRightInd w:val="0"/>
        <w:spacing w:line="240" w:lineRule="auto"/>
        <w:ind w:left="640" w:hanging="640"/>
        <w:rPr>
          <w:rFonts w:ascii="Arial" w:hAnsi="Arial" w:cs="Arial"/>
          <w:noProof/>
        </w:rPr>
      </w:pPr>
      <w:r w:rsidRPr="00904460">
        <w:rPr>
          <w:rFonts w:ascii="Arial" w:hAnsi="Arial" w:cs="Arial"/>
          <w:noProof/>
          <w:szCs w:val="24"/>
        </w:rPr>
        <w:t xml:space="preserve">2. </w:t>
      </w:r>
      <w:r w:rsidRPr="00904460">
        <w:rPr>
          <w:rFonts w:ascii="Arial" w:hAnsi="Arial" w:cs="Arial"/>
          <w:noProof/>
          <w:szCs w:val="24"/>
        </w:rPr>
        <w:tab/>
        <w:t xml:space="preserve">Vergne F, Le Mao R, Simonin L, et al. Une pleurésie très inhabituelle. </w:t>
      </w:r>
      <w:r w:rsidRPr="00904460">
        <w:rPr>
          <w:rFonts w:ascii="Arial" w:hAnsi="Arial" w:cs="Arial"/>
          <w:i/>
          <w:iCs/>
          <w:noProof/>
          <w:szCs w:val="24"/>
        </w:rPr>
        <w:t>Rev Mal Respir</w:t>
      </w:r>
      <w:r w:rsidRPr="00904460">
        <w:rPr>
          <w:rFonts w:ascii="Arial" w:hAnsi="Arial" w:cs="Arial"/>
          <w:noProof/>
          <w:szCs w:val="24"/>
        </w:rPr>
        <w:t>. 2018;35:567-570. doi:10.1016/j.rmr.2017.10.665</w:t>
      </w:r>
    </w:p>
    <w:p w14:paraId="5AB9073D" w14:textId="6BC047A1" w:rsidR="00DC0DE9" w:rsidRPr="00904460" w:rsidRDefault="00904460" w:rsidP="00106CBB">
      <w:pPr>
        <w:widowControl w:val="0"/>
        <w:autoSpaceDE w:val="0"/>
        <w:autoSpaceDN w:val="0"/>
        <w:adjustRightInd w:val="0"/>
        <w:spacing w:line="240" w:lineRule="auto"/>
        <w:ind w:left="640" w:hanging="640"/>
        <w:rPr>
          <w:rFonts w:ascii="Arial" w:hAnsi="Arial" w:cs="Arial"/>
          <w:lang w:val="en-US"/>
        </w:rPr>
      </w:pPr>
      <w:r>
        <w:rPr>
          <w:rFonts w:ascii="Arial" w:eastAsia="Times New Roman" w:hAnsi="Arial" w:cs="Arial"/>
          <w:lang w:val="es-ES_tradnl" w:eastAsia="es-ES"/>
        </w:rPr>
        <w:fldChar w:fldCharType="end"/>
      </w:r>
      <w:bookmarkStart w:id="0" w:name="_GoBack"/>
      <w:bookmarkEnd w:id="0"/>
    </w:p>
    <w:sectPr w:rsidR="00DC0DE9" w:rsidRPr="00904460" w:rsidSect="00C109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2"/>
  </w:compat>
  <w:rsids>
    <w:rsidRoot w:val="00942A29"/>
    <w:rsid w:val="000223B3"/>
    <w:rsid w:val="00043692"/>
    <w:rsid w:val="000D5BAA"/>
    <w:rsid w:val="00106CBB"/>
    <w:rsid w:val="00142D2B"/>
    <w:rsid w:val="00143B97"/>
    <w:rsid w:val="001C21D0"/>
    <w:rsid w:val="001C7704"/>
    <w:rsid w:val="002027B5"/>
    <w:rsid w:val="00465620"/>
    <w:rsid w:val="00467D37"/>
    <w:rsid w:val="004E281F"/>
    <w:rsid w:val="004F1B99"/>
    <w:rsid w:val="00586007"/>
    <w:rsid w:val="00650141"/>
    <w:rsid w:val="0065063C"/>
    <w:rsid w:val="00656936"/>
    <w:rsid w:val="006F0D86"/>
    <w:rsid w:val="00782B62"/>
    <w:rsid w:val="007B0465"/>
    <w:rsid w:val="00820966"/>
    <w:rsid w:val="008D6A6B"/>
    <w:rsid w:val="008E105C"/>
    <w:rsid w:val="008F563A"/>
    <w:rsid w:val="00904460"/>
    <w:rsid w:val="00942A29"/>
    <w:rsid w:val="00A04DE9"/>
    <w:rsid w:val="00A25892"/>
    <w:rsid w:val="00A321CC"/>
    <w:rsid w:val="00AB41AD"/>
    <w:rsid w:val="00B063CE"/>
    <w:rsid w:val="00B20C6D"/>
    <w:rsid w:val="00B54D94"/>
    <w:rsid w:val="00B77C39"/>
    <w:rsid w:val="00BE09C3"/>
    <w:rsid w:val="00C10997"/>
    <w:rsid w:val="00C91111"/>
    <w:rsid w:val="00CD4196"/>
    <w:rsid w:val="00CE6B22"/>
    <w:rsid w:val="00CF5DB0"/>
    <w:rsid w:val="00D16E58"/>
    <w:rsid w:val="00D726FC"/>
    <w:rsid w:val="00DC0DE9"/>
    <w:rsid w:val="00E23B9E"/>
    <w:rsid w:val="00E27CB7"/>
    <w:rsid w:val="00E9582C"/>
    <w:rsid w:val="00EA65DB"/>
    <w:rsid w:val="00F6173A"/>
    <w:rsid w:val="00F6464C"/>
    <w:rsid w:val="00FE4A0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6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A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3B97"/>
    <w:rPr>
      <w:color w:val="0000FF" w:themeColor="hyperlink"/>
      <w:u w:val="single"/>
    </w:rPr>
  </w:style>
  <w:style w:type="character" w:styleId="Hipervnculovisitado">
    <w:name w:val="FollowedHyperlink"/>
    <w:basedOn w:val="Fuentedeprrafopredeter"/>
    <w:uiPriority w:val="99"/>
    <w:semiHidden/>
    <w:unhideWhenUsed/>
    <w:rsid w:val="00DC0DE9"/>
    <w:rPr>
      <w:color w:val="800080" w:themeColor="followedHyperlink"/>
      <w:u w:val="single"/>
    </w:rPr>
  </w:style>
  <w:style w:type="paragraph" w:styleId="Textodeglobo">
    <w:name w:val="Balloon Text"/>
    <w:basedOn w:val="Normal"/>
    <w:link w:val="TextodegloboCar"/>
    <w:uiPriority w:val="99"/>
    <w:semiHidden/>
    <w:unhideWhenUsed/>
    <w:rsid w:val="00106CBB"/>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06C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A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80557">
      <w:bodyDiv w:val="1"/>
      <w:marLeft w:val="0"/>
      <w:marRight w:val="0"/>
      <w:marTop w:val="0"/>
      <w:marBottom w:val="0"/>
      <w:divBdr>
        <w:top w:val="none" w:sz="0" w:space="0" w:color="auto"/>
        <w:left w:val="none" w:sz="0" w:space="0" w:color="auto"/>
        <w:bottom w:val="none" w:sz="0" w:space="0" w:color="auto"/>
        <w:right w:val="none" w:sz="0" w:space="0" w:color="auto"/>
      </w:divBdr>
    </w:div>
    <w:div w:id="556742830">
      <w:bodyDiv w:val="1"/>
      <w:marLeft w:val="0"/>
      <w:marRight w:val="0"/>
      <w:marTop w:val="0"/>
      <w:marBottom w:val="0"/>
      <w:divBdr>
        <w:top w:val="none" w:sz="0" w:space="0" w:color="auto"/>
        <w:left w:val="none" w:sz="0" w:space="0" w:color="auto"/>
        <w:bottom w:val="none" w:sz="0" w:space="0" w:color="auto"/>
        <w:right w:val="none" w:sz="0" w:space="0" w:color="auto"/>
      </w:divBdr>
    </w:div>
    <w:div w:id="900599359">
      <w:bodyDiv w:val="1"/>
      <w:marLeft w:val="0"/>
      <w:marRight w:val="0"/>
      <w:marTop w:val="0"/>
      <w:marBottom w:val="0"/>
      <w:divBdr>
        <w:top w:val="none" w:sz="0" w:space="0" w:color="auto"/>
        <w:left w:val="none" w:sz="0" w:space="0" w:color="auto"/>
        <w:bottom w:val="none" w:sz="0" w:space="0" w:color="auto"/>
        <w:right w:val="none" w:sz="0" w:space="0" w:color="auto"/>
      </w:divBdr>
    </w:div>
    <w:div w:id="1011221576">
      <w:bodyDiv w:val="1"/>
      <w:marLeft w:val="0"/>
      <w:marRight w:val="0"/>
      <w:marTop w:val="0"/>
      <w:marBottom w:val="0"/>
      <w:divBdr>
        <w:top w:val="none" w:sz="0" w:space="0" w:color="auto"/>
        <w:left w:val="none" w:sz="0" w:space="0" w:color="auto"/>
        <w:bottom w:val="none" w:sz="0" w:space="0" w:color="auto"/>
        <w:right w:val="none" w:sz="0" w:space="0" w:color="auto"/>
      </w:divBdr>
    </w:div>
    <w:div w:id="1743864614">
      <w:bodyDiv w:val="1"/>
      <w:marLeft w:val="0"/>
      <w:marRight w:val="0"/>
      <w:marTop w:val="0"/>
      <w:marBottom w:val="0"/>
      <w:divBdr>
        <w:top w:val="none" w:sz="0" w:space="0" w:color="auto"/>
        <w:left w:val="none" w:sz="0" w:space="0" w:color="auto"/>
        <w:bottom w:val="none" w:sz="0" w:space="0" w:color="auto"/>
        <w:right w:val="none" w:sz="0" w:space="0" w:color="auto"/>
      </w:divBdr>
    </w:div>
    <w:div w:id="1982730981">
      <w:bodyDiv w:val="1"/>
      <w:marLeft w:val="0"/>
      <w:marRight w:val="0"/>
      <w:marTop w:val="0"/>
      <w:marBottom w:val="0"/>
      <w:divBdr>
        <w:top w:val="none" w:sz="0" w:space="0" w:color="auto"/>
        <w:left w:val="none" w:sz="0" w:space="0" w:color="auto"/>
        <w:bottom w:val="none" w:sz="0" w:space="0" w:color="auto"/>
        <w:right w:val="none" w:sz="0" w:space="0" w:color="auto"/>
      </w:divBdr>
    </w:div>
    <w:div w:id="20970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1244</Words>
  <Characters>6846</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Hospital Universitari Son Espases</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Fullana Barcelo</dc:creator>
  <cp:lastModifiedBy>Pep Lluis Bauza Quetglas</cp:lastModifiedBy>
  <cp:revision>16</cp:revision>
  <dcterms:created xsi:type="dcterms:W3CDTF">2017-05-21T10:25:00Z</dcterms:created>
  <dcterms:modified xsi:type="dcterms:W3CDTF">2018-12-21T15:43:00Z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409cbfe7-7112-3e9a-a603-4367ddcbcc3b</vt:lpwstr>
  </property>
  <property fmtid="{D5CDD505-2E9C-101B-9397-08002B2CF9AE}" pid="4" name="Mendeley Citation Style_1">
    <vt:lpwstr>http://www.zotero.org/styles/urology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http://www.zotero.org/styles/urology</vt:lpwstr>
  </property>
  <property fmtid="{D5CDD505-2E9C-101B-9397-08002B2CF9AE}" pid="24" name="Mendeley Recent Style Name 9_1">
    <vt:lpwstr>Urology</vt:lpwstr>
  </property>
</Properties>
</file>