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B27" w:rsidRDefault="00AE0B27" w:rsidP="00AE0B27">
      <w:pPr>
        <w:pStyle w:val="Tytu"/>
        <w:jc w:val="center"/>
      </w:pPr>
    </w:p>
    <w:p w:rsidR="00AE0B27" w:rsidRDefault="00AE0B27" w:rsidP="00AE0B27">
      <w:pPr>
        <w:pStyle w:val="Tytu"/>
        <w:jc w:val="center"/>
      </w:pPr>
    </w:p>
    <w:p w:rsidR="00AE0B27" w:rsidRDefault="00AE0B27" w:rsidP="00AE0B27">
      <w:pPr>
        <w:pStyle w:val="Tytu"/>
        <w:jc w:val="center"/>
      </w:pPr>
    </w:p>
    <w:p w:rsidR="00AE0B27" w:rsidRDefault="00AE0B27" w:rsidP="00AE0B27">
      <w:pPr>
        <w:pStyle w:val="Tytu"/>
        <w:jc w:val="center"/>
      </w:pPr>
    </w:p>
    <w:p w:rsidR="00AE0B27" w:rsidRDefault="00AE0B27" w:rsidP="00AE0B27">
      <w:pPr>
        <w:pStyle w:val="Tytu"/>
        <w:jc w:val="center"/>
      </w:pPr>
    </w:p>
    <w:p w:rsidR="00AE0B27" w:rsidRDefault="00AE0B27" w:rsidP="00AE0B27">
      <w:pPr>
        <w:pStyle w:val="Tytu"/>
        <w:jc w:val="center"/>
      </w:pPr>
    </w:p>
    <w:p w:rsidR="00AE0B27" w:rsidRDefault="00AE0B27" w:rsidP="00AE0B27">
      <w:pPr>
        <w:pStyle w:val="Tytu"/>
        <w:jc w:val="center"/>
      </w:pPr>
    </w:p>
    <w:p w:rsidR="00AE0B27" w:rsidRDefault="00AE0B27" w:rsidP="00AE0B27">
      <w:pPr>
        <w:pStyle w:val="Tytu"/>
        <w:jc w:val="center"/>
      </w:pPr>
    </w:p>
    <w:p w:rsidR="00296380" w:rsidRDefault="00AE0B27" w:rsidP="00AE0B27">
      <w:pPr>
        <w:pStyle w:val="Tytu"/>
        <w:jc w:val="center"/>
      </w:pPr>
      <w:r>
        <w:t>PLAN ZARZĄDZANIA RYZYKIEM</w:t>
      </w:r>
    </w:p>
    <w:p w:rsidR="00AE0B27" w:rsidRDefault="00AE0B27" w:rsidP="00AE0B27"/>
    <w:p w:rsidR="00AE0B27" w:rsidRDefault="00AE0B27" w:rsidP="00AE0B27"/>
    <w:p w:rsidR="00AE0B27" w:rsidRDefault="00AE0B27" w:rsidP="00AE0B27"/>
    <w:p w:rsidR="00AE0B27" w:rsidRDefault="00AE0B27" w:rsidP="00AE0B27"/>
    <w:p w:rsidR="00AE0B27" w:rsidRDefault="00AE0B27" w:rsidP="00AE0B27"/>
    <w:p w:rsidR="00AE0B27" w:rsidRDefault="00AE0B27" w:rsidP="00AE0B27"/>
    <w:p w:rsidR="00AE0B27" w:rsidRDefault="00AE0B27" w:rsidP="00AE0B27"/>
    <w:p w:rsidR="00AE0B27" w:rsidRDefault="00AE0B27" w:rsidP="00AE0B27"/>
    <w:p w:rsidR="00AE0B27" w:rsidRDefault="00AE0B27" w:rsidP="00AE0B27"/>
    <w:p w:rsidR="00AE0B27" w:rsidRDefault="00AE0B27" w:rsidP="00AE0B27"/>
    <w:p w:rsidR="00AE0B27" w:rsidRDefault="00AE0B27" w:rsidP="00AE0B27"/>
    <w:p w:rsidR="00AE0B27" w:rsidRDefault="00AE0B27" w:rsidP="00AE0B27"/>
    <w:p w:rsidR="00AE0B27" w:rsidRDefault="00AE0B27" w:rsidP="00AE0B27"/>
    <w:p w:rsidR="00AE0B27" w:rsidRDefault="00AE0B27" w:rsidP="00AE0B27"/>
    <w:p w:rsidR="00AE0B27" w:rsidRDefault="00AE0B27" w:rsidP="00AE0B27"/>
    <w:p w:rsidR="00AE0B27" w:rsidRDefault="00AE0B27" w:rsidP="00AE0B27"/>
    <w:p w:rsidR="00AE0B27" w:rsidRDefault="00AE0B27" w:rsidP="00AE0B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Wersja dokumentu</w:t>
      </w:r>
    </w:p>
    <w:p w:rsidR="00AE0B27" w:rsidRDefault="00AE0B27" w:rsidP="00AE0B27"/>
    <w:p w:rsidR="00AE0B27" w:rsidRDefault="00AE0B27" w:rsidP="00AE0B2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8741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0B27" w:rsidRDefault="00AE0B27">
          <w:pPr>
            <w:pStyle w:val="Nagwekspisutreci"/>
          </w:pPr>
          <w:r>
            <w:t>Spis treści</w:t>
          </w:r>
        </w:p>
        <w:p w:rsidR="00E77B55" w:rsidRDefault="00AE0B2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97008" w:history="1">
            <w:r w:rsidR="00E77B55" w:rsidRPr="00567D3B">
              <w:rPr>
                <w:rStyle w:val="Hipercze"/>
                <w:noProof/>
              </w:rPr>
              <w:t>1. Zakres dokumentu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_Toc507697008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09" w:history="1">
            <w:r w:rsidR="00E77B55" w:rsidRPr="00567D3B">
              <w:rPr>
                <w:rStyle w:val="Hipercze"/>
                <w:noProof/>
              </w:rPr>
              <w:t>2. Ogólne zasady zarządzania ryzykiem projektu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_Toc507697009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10" w:history="1">
            <w:r w:rsidR="00E77B55" w:rsidRPr="00567D3B">
              <w:rPr>
                <w:rStyle w:val="Hipercze"/>
                <w:noProof/>
              </w:rPr>
              <w:t>3. Organizacja procesu zarządzania ryzykiem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_Toc507697010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11" w:history="1">
            <w:r w:rsidR="00E77B55" w:rsidRPr="00567D3B">
              <w:rPr>
                <w:rStyle w:val="Hipercze"/>
                <w:noProof/>
              </w:rPr>
              <w:t>3.1. Role w procesie zarządzania ryzykiem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_Toc507697011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12" w:history="1">
            <w:r w:rsidR="00E77B55" w:rsidRPr="00567D3B">
              <w:rPr>
                <w:rStyle w:val="Hipercze"/>
                <w:noProof/>
                <w:lang w:val="en-US"/>
              </w:rPr>
              <w:t>3.2. Zakres odpowiedzialności dla ról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_Toc507697012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13" w:history="1">
            <w:r w:rsidR="00E77B55" w:rsidRPr="00567D3B">
              <w:rPr>
                <w:rStyle w:val="Hipercze"/>
                <w:noProof/>
                <w:lang w:val="en-US"/>
              </w:rPr>
              <w:t>3.3. Identify additional technical expertise needed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_Toc507697013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14" w:history="1">
            <w:r w:rsidR="00E77B55" w:rsidRPr="00567D3B">
              <w:rPr>
                <w:rStyle w:val="Hipercze"/>
                <w:noProof/>
                <w:lang w:val="en-US"/>
              </w:rPr>
              <w:t>3.4. Reference the project’s risk management process and procedures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_Toc507697014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15" w:history="1">
            <w:r w:rsidR="00E77B55" w:rsidRPr="00567D3B">
              <w:rPr>
                <w:rStyle w:val="Hipercze"/>
                <w:noProof/>
              </w:rPr>
              <w:t>4. Ocena ryzyka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_Toc507697015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16" w:history="1">
            <w:r w:rsidR="00E77B55" w:rsidRPr="00567D3B">
              <w:rPr>
                <w:rStyle w:val="Hipercze"/>
                <w:noProof/>
              </w:rPr>
              <w:t>4.1. Identyfikacja ryzyka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_Toc507697016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17" w:history="1">
            <w:r w:rsidR="00E77B55" w:rsidRPr="00567D3B">
              <w:rPr>
                <w:rStyle w:val="Hipercze"/>
                <w:noProof/>
              </w:rPr>
              <w:t>4.1.1. Referencje do formularzy kontrolnych*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_Toc507697017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18" w:history="1">
            <w:r w:rsidR="00E77B55" w:rsidRPr="00567D3B">
              <w:rPr>
                <w:rStyle w:val="Hipercze"/>
                <w:noProof/>
              </w:rPr>
              <w:t>4.1.2. Terminologia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_Toc507697018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19" w:history="1">
            <w:r w:rsidR="00E77B55" w:rsidRPr="00567D3B">
              <w:rPr>
                <w:rStyle w:val="Hipercze"/>
                <w:noProof/>
              </w:rPr>
              <w:t>4.2. Analiza ryzyka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_Toc507697019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20" w:history="1">
            <w:r w:rsidR="00E77B55" w:rsidRPr="00567D3B">
              <w:rPr>
                <w:rStyle w:val="Hipercze"/>
                <w:noProof/>
              </w:rPr>
              <w:t>5. Minimalizacja ryzyka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_Toc507697020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21" w:history="1">
            <w:r w:rsidR="00E77B55" w:rsidRPr="00567D3B">
              <w:rPr>
                <w:rStyle w:val="Hipercze"/>
                <w:noProof/>
              </w:rPr>
              <w:t>6. Kontrola ryzyka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_Toc507697021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22" w:history="1">
            <w:r w:rsidR="00E77B55" w:rsidRPr="00567D3B">
              <w:rPr>
                <w:rStyle w:val="Hipercze"/>
                <w:noProof/>
                <w:lang w:val="en-US"/>
              </w:rPr>
              <w:t>6.1. Zasady kontroli ryzka, identify risk tracking indicators and measurements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_Toc507697022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23" w:history="1">
            <w:r w:rsidR="00E77B55" w:rsidRPr="00567D3B">
              <w:rPr>
                <w:rStyle w:val="Hipercze"/>
                <w:noProof/>
                <w:lang w:val="en-US"/>
              </w:rPr>
              <w:t>6.2. Identify the individuals or groups to receive the risk information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_Toc507697023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24" w:history="1">
            <w:r w:rsidR="00E77B55" w:rsidRPr="00567D3B">
              <w:rPr>
                <w:rStyle w:val="Hipercze"/>
                <w:noProof/>
              </w:rPr>
              <w:t>6.3. Harmonogram kontroli i raportowania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_Toc507697024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25" w:history="1">
            <w:r w:rsidR="00E77B55" w:rsidRPr="00567D3B">
              <w:rPr>
                <w:rStyle w:val="Hipercze"/>
                <w:noProof/>
              </w:rPr>
              <w:t>7. Komunikacja, obieg dokumentów w procesie RM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_Toc507697025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26" w:history="1">
            <w:r w:rsidR="00E77B55" w:rsidRPr="00567D3B">
              <w:rPr>
                <w:rStyle w:val="Hipercze"/>
                <w:noProof/>
              </w:rPr>
              <w:t>8. Risk feedback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_Toc507697026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27" w:history="1">
            <w:r w:rsidR="00E77B55" w:rsidRPr="00567D3B">
              <w:rPr>
                <w:rStyle w:val="Hipercze"/>
                <w:noProof/>
              </w:rPr>
              <w:t>9. Dokumentacja ryzyka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_Toc507697027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28" w:history="1">
            <w:r w:rsidR="00E77B55" w:rsidRPr="00567D3B">
              <w:rPr>
                <w:rStyle w:val="Hipercze"/>
                <w:noProof/>
              </w:rPr>
              <w:t>9.1. Lista dokumentów zarządzania ryzykiem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_Toc507697028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E77B55" w:rsidRDefault="00B65C3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7029" w:history="1">
            <w:r w:rsidR="00E77B55" w:rsidRPr="00567D3B">
              <w:rPr>
                <w:rStyle w:val="Hipercze"/>
                <w:noProof/>
              </w:rPr>
              <w:t>9.2. Zasady kontroli wersji i dostępu do dokumentów</w:t>
            </w:r>
            <w:r w:rsidR="00E77B55">
              <w:rPr>
                <w:noProof/>
                <w:webHidden/>
              </w:rPr>
              <w:tab/>
            </w:r>
            <w:r w:rsidR="00E77B55">
              <w:rPr>
                <w:noProof/>
                <w:webHidden/>
              </w:rPr>
              <w:fldChar w:fldCharType="begin"/>
            </w:r>
            <w:r w:rsidR="00E77B55">
              <w:rPr>
                <w:noProof/>
                <w:webHidden/>
              </w:rPr>
              <w:instrText xml:space="preserve"> PAGEREF _Toc507697029 \h </w:instrText>
            </w:r>
            <w:r w:rsidR="00E77B55">
              <w:rPr>
                <w:noProof/>
                <w:webHidden/>
              </w:rPr>
            </w:r>
            <w:r w:rsidR="00E77B55">
              <w:rPr>
                <w:noProof/>
                <w:webHidden/>
              </w:rPr>
              <w:fldChar w:fldCharType="separate"/>
            </w:r>
            <w:r w:rsidR="00E77B55">
              <w:rPr>
                <w:noProof/>
                <w:webHidden/>
              </w:rPr>
              <w:t>4</w:t>
            </w:r>
            <w:r w:rsidR="00E77B55">
              <w:rPr>
                <w:noProof/>
                <w:webHidden/>
              </w:rPr>
              <w:fldChar w:fldCharType="end"/>
            </w:r>
          </w:hyperlink>
        </w:p>
        <w:p w:rsidR="00AE0B27" w:rsidRDefault="00AE0B27">
          <w:r>
            <w:rPr>
              <w:b/>
              <w:bCs/>
            </w:rPr>
            <w:fldChar w:fldCharType="end"/>
          </w:r>
        </w:p>
      </w:sdtContent>
    </w:sdt>
    <w:p w:rsidR="00AE0B27" w:rsidRDefault="00AE0B27" w:rsidP="00AE0B27"/>
    <w:p w:rsidR="00AE0B27" w:rsidRDefault="00AE0B27" w:rsidP="00AE0B27"/>
    <w:p w:rsidR="00AE0B27" w:rsidRDefault="00AE0B27" w:rsidP="00AE0B27"/>
    <w:p w:rsidR="00AE0B27" w:rsidRDefault="00AE0B27" w:rsidP="00AE0B27"/>
    <w:p w:rsidR="00AE0B27" w:rsidRDefault="00AE0B27" w:rsidP="00AE0B27"/>
    <w:p w:rsidR="00AE0B27" w:rsidRDefault="00AE0B27" w:rsidP="00AE0B27"/>
    <w:p w:rsidR="00AE0B27" w:rsidRDefault="00AE0B27" w:rsidP="00AE0B27"/>
    <w:p w:rsidR="00AE0B27" w:rsidRDefault="00AE0B27" w:rsidP="00AE0B27"/>
    <w:p w:rsidR="00AE0B27" w:rsidRPr="004800F7" w:rsidRDefault="00AE0B27" w:rsidP="00AE0B27">
      <w:pPr>
        <w:pStyle w:val="Nagwek1"/>
        <w:spacing w:before="0"/>
        <w:rPr>
          <w:color w:val="auto"/>
          <w:sz w:val="28"/>
          <w:szCs w:val="28"/>
        </w:rPr>
      </w:pPr>
      <w:bookmarkStart w:id="0" w:name="_Toc507697008"/>
      <w:r w:rsidRPr="004800F7">
        <w:rPr>
          <w:color w:val="auto"/>
          <w:sz w:val="28"/>
          <w:szCs w:val="28"/>
        </w:rPr>
        <w:lastRenderedPageBreak/>
        <w:t>1. Zakres dokumentu</w:t>
      </w:r>
      <w:bookmarkEnd w:id="0"/>
      <w:r w:rsidRPr="004800F7">
        <w:rPr>
          <w:color w:val="auto"/>
          <w:sz w:val="28"/>
          <w:szCs w:val="28"/>
        </w:rPr>
        <w:t xml:space="preserve"> </w:t>
      </w:r>
    </w:p>
    <w:p w:rsidR="00AE0B27" w:rsidRPr="004800F7" w:rsidRDefault="00AE0B27" w:rsidP="00AE0B27">
      <w:pPr>
        <w:pStyle w:val="Nagwek1"/>
        <w:spacing w:before="0"/>
        <w:rPr>
          <w:color w:val="auto"/>
          <w:sz w:val="28"/>
          <w:szCs w:val="28"/>
        </w:rPr>
      </w:pPr>
      <w:bookmarkStart w:id="1" w:name="_Toc507697009"/>
      <w:r w:rsidRPr="004800F7">
        <w:rPr>
          <w:color w:val="auto"/>
          <w:sz w:val="28"/>
          <w:szCs w:val="28"/>
        </w:rPr>
        <w:t>2. Ogólne zasady zarządzania ryzykiem projektu</w:t>
      </w:r>
      <w:bookmarkEnd w:id="1"/>
      <w:r w:rsidRPr="004800F7">
        <w:rPr>
          <w:color w:val="auto"/>
          <w:sz w:val="28"/>
          <w:szCs w:val="28"/>
        </w:rPr>
        <w:t xml:space="preserve"> </w:t>
      </w:r>
    </w:p>
    <w:p w:rsidR="00AE0B27" w:rsidRPr="004800F7" w:rsidRDefault="00AE0B27" w:rsidP="00AE0B27">
      <w:pPr>
        <w:pStyle w:val="Nagwek1"/>
        <w:spacing w:before="0"/>
        <w:rPr>
          <w:color w:val="auto"/>
          <w:sz w:val="28"/>
          <w:szCs w:val="28"/>
        </w:rPr>
      </w:pPr>
      <w:bookmarkStart w:id="2" w:name="_Toc507697010"/>
      <w:r w:rsidRPr="004800F7">
        <w:rPr>
          <w:color w:val="auto"/>
          <w:sz w:val="28"/>
          <w:szCs w:val="28"/>
        </w:rPr>
        <w:t>3. Organizacja procesu zarządzania ryzykiem</w:t>
      </w:r>
      <w:bookmarkEnd w:id="2"/>
      <w:r w:rsidRPr="004800F7">
        <w:rPr>
          <w:color w:val="auto"/>
          <w:sz w:val="28"/>
          <w:szCs w:val="28"/>
        </w:rPr>
        <w:t xml:space="preserve"> </w:t>
      </w:r>
    </w:p>
    <w:p w:rsidR="00AE0B27" w:rsidRPr="004800F7" w:rsidRDefault="00AE0B27" w:rsidP="00AE0B27">
      <w:pPr>
        <w:pStyle w:val="Nagwek2"/>
        <w:spacing w:before="0"/>
        <w:rPr>
          <w:color w:val="auto"/>
        </w:rPr>
      </w:pPr>
      <w:bookmarkStart w:id="3" w:name="_Toc507697011"/>
      <w:r w:rsidRPr="004800F7">
        <w:rPr>
          <w:color w:val="auto"/>
        </w:rPr>
        <w:t>3.1. Role w procesie zarządzania ryzykiem</w:t>
      </w:r>
      <w:bookmarkEnd w:id="3"/>
      <w:r w:rsidRPr="004800F7">
        <w:rPr>
          <w:color w:val="auto"/>
        </w:rPr>
        <w:t xml:space="preserve"> </w:t>
      </w:r>
    </w:p>
    <w:p w:rsidR="00AE0B27" w:rsidRPr="004800F7" w:rsidRDefault="00AE0B27" w:rsidP="00AE0B27">
      <w:pPr>
        <w:pStyle w:val="Nagwek2"/>
        <w:spacing w:before="0"/>
        <w:rPr>
          <w:color w:val="auto"/>
          <w:lang w:val="en-US"/>
        </w:rPr>
      </w:pPr>
      <w:bookmarkStart w:id="4" w:name="_Toc507697012"/>
      <w:r w:rsidRPr="004800F7">
        <w:rPr>
          <w:color w:val="auto"/>
          <w:lang w:val="en-US"/>
        </w:rPr>
        <w:t xml:space="preserve">3.2. </w:t>
      </w:r>
      <w:proofErr w:type="spellStart"/>
      <w:r w:rsidRPr="004800F7">
        <w:rPr>
          <w:color w:val="auto"/>
          <w:lang w:val="en-US"/>
        </w:rPr>
        <w:t>Zakres</w:t>
      </w:r>
      <w:proofErr w:type="spellEnd"/>
      <w:r w:rsidRPr="004800F7">
        <w:rPr>
          <w:color w:val="auto"/>
          <w:lang w:val="en-US"/>
        </w:rPr>
        <w:t xml:space="preserve"> </w:t>
      </w:r>
      <w:proofErr w:type="spellStart"/>
      <w:r w:rsidRPr="004800F7">
        <w:rPr>
          <w:color w:val="auto"/>
          <w:lang w:val="en-US"/>
        </w:rPr>
        <w:t>odpowiedzialności</w:t>
      </w:r>
      <w:proofErr w:type="spellEnd"/>
      <w:r w:rsidRPr="004800F7">
        <w:rPr>
          <w:color w:val="auto"/>
          <w:lang w:val="en-US"/>
        </w:rPr>
        <w:t xml:space="preserve"> </w:t>
      </w:r>
      <w:proofErr w:type="spellStart"/>
      <w:r w:rsidRPr="004800F7">
        <w:rPr>
          <w:color w:val="auto"/>
          <w:lang w:val="en-US"/>
        </w:rPr>
        <w:t>dla</w:t>
      </w:r>
      <w:proofErr w:type="spellEnd"/>
      <w:r w:rsidRPr="004800F7">
        <w:rPr>
          <w:color w:val="auto"/>
          <w:lang w:val="en-US"/>
        </w:rPr>
        <w:t xml:space="preserve"> </w:t>
      </w:r>
      <w:proofErr w:type="spellStart"/>
      <w:r w:rsidRPr="004800F7">
        <w:rPr>
          <w:color w:val="auto"/>
          <w:lang w:val="en-US"/>
        </w:rPr>
        <w:t>ról</w:t>
      </w:r>
      <w:bookmarkEnd w:id="4"/>
      <w:proofErr w:type="spellEnd"/>
      <w:r w:rsidRPr="004800F7">
        <w:rPr>
          <w:color w:val="auto"/>
          <w:lang w:val="en-US"/>
        </w:rPr>
        <w:t xml:space="preserve"> </w:t>
      </w:r>
    </w:p>
    <w:p w:rsidR="00AE0B27" w:rsidRPr="004800F7" w:rsidRDefault="00AE0B27" w:rsidP="00AE0B27">
      <w:pPr>
        <w:pStyle w:val="Nagwek2"/>
        <w:spacing w:before="0"/>
        <w:rPr>
          <w:color w:val="auto"/>
          <w:lang w:val="en-US"/>
        </w:rPr>
      </w:pPr>
      <w:bookmarkStart w:id="5" w:name="_Toc507697013"/>
      <w:r w:rsidRPr="004800F7">
        <w:rPr>
          <w:color w:val="auto"/>
          <w:lang w:val="en-US"/>
        </w:rPr>
        <w:t>3.3. Identify additional technical expertise needed</w:t>
      </w:r>
      <w:bookmarkEnd w:id="5"/>
      <w:r w:rsidRPr="004800F7">
        <w:rPr>
          <w:color w:val="auto"/>
          <w:lang w:val="en-US"/>
        </w:rPr>
        <w:t xml:space="preserve"> </w:t>
      </w:r>
    </w:p>
    <w:p w:rsidR="00AE0B27" w:rsidRPr="004800F7" w:rsidRDefault="00AE0B27" w:rsidP="00AE0B27">
      <w:pPr>
        <w:pStyle w:val="Nagwek2"/>
        <w:spacing w:before="0"/>
        <w:rPr>
          <w:color w:val="auto"/>
          <w:lang w:val="en-US"/>
        </w:rPr>
      </w:pPr>
      <w:bookmarkStart w:id="6" w:name="_Toc507697014"/>
      <w:r w:rsidRPr="004800F7">
        <w:rPr>
          <w:color w:val="auto"/>
          <w:lang w:val="en-US"/>
        </w:rPr>
        <w:t>3.4. Reference the project’s risk management process and procedures</w:t>
      </w:r>
      <w:bookmarkEnd w:id="6"/>
      <w:r w:rsidRPr="004800F7">
        <w:rPr>
          <w:color w:val="auto"/>
          <w:lang w:val="en-US"/>
        </w:rPr>
        <w:t xml:space="preserve"> </w:t>
      </w:r>
    </w:p>
    <w:p w:rsidR="00AE0B27" w:rsidRPr="004800F7" w:rsidRDefault="00AE0B27" w:rsidP="00AE0B27">
      <w:pPr>
        <w:pStyle w:val="Nagwek1"/>
        <w:spacing w:before="0"/>
        <w:rPr>
          <w:color w:val="auto"/>
          <w:sz w:val="28"/>
          <w:szCs w:val="28"/>
        </w:rPr>
      </w:pPr>
      <w:bookmarkStart w:id="7" w:name="_Toc507697015"/>
      <w:r w:rsidRPr="004800F7">
        <w:rPr>
          <w:color w:val="auto"/>
          <w:sz w:val="28"/>
          <w:szCs w:val="28"/>
        </w:rPr>
        <w:t>4. Ocena ryzyka</w:t>
      </w:r>
      <w:bookmarkEnd w:id="7"/>
      <w:r w:rsidRPr="004800F7">
        <w:rPr>
          <w:color w:val="auto"/>
          <w:sz w:val="28"/>
          <w:szCs w:val="28"/>
        </w:rPr>
        <w:t xml:space="preserve"> </w:t>
      </w:r>
      <w:bookmarkStart w:id="8" w:name="_GoBack"/>
      <w:bookmarkEnd w:id="8"/>
    </w:p>
    <w:p w:rsidR="00AE0B27" w:rsidRPr="004800F7" w:rsidRDefault="00AE0B27" w:rsidP="00AE0B27">
      <w:pPr>
        <w:pStyle w:val="Nagwek2"/>
        <w:spacing w:before="0"/>
        <w:rPr>
          <w:color w:val="auto"/>
        </w:rPr>
      </w:pPr>
      <w:bookmarkStart w:id="9" w:name="_Toc507697016"/>
      <w:r w:rsidRPr="004800F7">
        <w:rPr>
          <w:color w:val="auto"/>
        </w:rPr>
        <w:t>4.1. Identyfikacja ryzyka</w:t>
      </w:r>
      <w:bookmarkEnd w:id="9"/>
      <w:r w:rsidRPr="004800F7">
        <w:rPr>
          <w:color w:val="auto"/>
        </w:rPr>
        <w:t xml:space="preserve"> </w:t>
      </w:r>
    </w:p>
    <w:p w:rsidR="00AE0B27" w:rsidRPr="004800F7" w:rsidRDefault="00AE0B27" w:rsidP="00AE0B27">
      <w:pPr>
        <w:pStyle w:val="Nagwek3"/>
        <w:rPr>
          <w:color w:val="auto"/>
        </w:rPr>
      </w:pPr>
      <w:bookmarkStart w:id="10" w:name="_Toc507697017"/>
      <w:r w:rsidRPr="004800F7">
        <w:rPr>
          <w:color w:val="auto"/>
        </w:rPr>
        <w:t>4.1.1. Referencje do formularzy kontrolnych*</w:t>
      </w:r>
      <w:bookmarkEnd w:id="10"/>
      <w:r w:rsidRPr="004800F7">
        <w:rPr>
          <w:color w:val="auto"/>
        </w:rPr>
        <w:t xml:space="preserve"> </w:t>
      </w:r>
    </w:p>
    <w:p w:rsidR="00AE0B27" w:rsidRPr="004800F7" w:rsidRDefault="00AE0B27" w:rsidP="00AE0B27">
      <w:pPr>
        <w:pStyle w:val="Nagwek3"/>
        <w:rPr>
          <w:color w:val="auto"/>
        </w:rPr>
      </w:pPr>
      <w:bookmarkStart w:id="11" w:name="_Toc507697018"/>
      <w:r w:rsidRPr="004800F7">
        <w:rPr>
          <w:color w:val="auto"/>
        </w:rPr>
        <w:t>4.1.2. Terminologia</w:t>
      </w:r>
      <w:bookmarkEnd w:id="11"/>
      <w:r w:rsidRPr="004800F7">
        <w:rPr>
          <w:color w:val="auto"/>
        </w:rPr>
        <w:t xml:space="preserve"> </w:t>
      </w:r>
    </w:p>
    <w:p w:rsidR="00AE0B27" w:rsidRPr="004800F7" w:rsidRDefault="00AE0B27" w:rsidP="00AE0B27">
      <w:pPr>
        <w:pStyle w:val="Nagwek2"/>
        <w:spacing w:before="0"/>
        <w:rPr>
          <w:color w:val="auto"/>
        </w:rPr>
      </w:pPr>
      <w:bookmarkStart w:id="12" w:name="_Toc507697019"/>
      <w:r w:rsidRPr="004800F7">
        <w:rPr>
          <w:color w:val="auto"/>
        </w:rPr>
        <w:t>4.2. Analiza ryzyka</w:t>
      </w:r>
      <w:bookmarkEnd w:id="12"/>
      <w:r w:rsidRPr="004800F7">
        <w:rPr>
          <w:color w:val="auto"/>
        </w:rPr>
        <w:t xml:space="preserve"> </w:t>
      </w:r>
    </w:p>
    <w:p w:rsidR="00AE0B27" w:rsidRPr="004800F7" w:rsidRDefault="00AE0B27" w:rsidP="00AE0B27">
      <w:pPr>
        <w:pStyle w:val="Nagwek1"/>
        <w:spacing w:before="0"/>
        <w:rPr>
          <w:color w:val="auto"/>
          <w:sz w:val="28"/>
          <w:szCs w:val="28"/>
        </w:rPr>
      </w:pPr>
      <w:bookmarkStart w:id="13" w:name="_Toc507697020"/>
      <w:r w:rsidRPr="004800F7">
        <w:rPr>
          <w:color w:val="auto"/>
          <w:sz w:val="28"/>
          <w:szCs w:val="28"/>
        </w:rPr>
        <w:t>5. Minimalizacja ryzyka</w:t>
      </w:r>
      <w:bookmarkEnd w:id="13"/>
      <w:r w:rsidRPr="004800F7">
        <w:rPr>
          <w:color w:val="auto"/>
          <w:sz w:val="28"/>
          <w:szCs w:val="28"/>
        </w:rPr>
        <w:t xml:space="preserve"> </w:t>
      </w:r>
    </w:p>
    <w:p w:rsidR="00AE0B27" w:rsidRPr="004800F7" w:rsidRDefault="00AE0B27" w:rsidP="00AE0B27">
      <w:pPr>
        <w:pStyle w:val="Nagwek1"/>
        <w:spacing w:before="0"/>
        <w:rPr>
          <w:color w:val="auto"/>
          <w:sz w:val="28"/>
          <w:szCs w:val="28"/>
        </w:rPr>
      </w:pPr>
      <w:bookmarkStart w:id="14" w:name="_Toc507697021"/>
      <w:r w:rsidRPr="004800F7">
        <w:rPr>
          <w:color w:val="auto"/>
          <w:sz w:val="28"/>
          <w:szCs w:val="28"/>
        </w:rPr>
        <w:t>6. Kontrola ryzyka</w:t>
      </w:r>
      <w:bookmarkEnd w:id="14"/>
      <w:r w:rsidRPr="004800F7">
        <w:rPr>
          <w:color w:val="auto"/>
          <w:sz w:val="28"/>
          <w:szCs w:val="28"/>
        </w:rPr>
        <w:t xml:space="preserve"> </w:t>
      </w:r>
    </w:p>
    <w:p w:rsidR="00AE0B27" w:rsidRPr="004800F7" w:rsidRDefault="00AE0B27" w:rsidP="00E77B55">
      <w:pPr>
        <w:pStyle w:val="Nagwek2"/>
        <w:rPr>
          <w:color w:val="auto"/>
          <w:lang w:val="en-US"/>
        </w:rPr>
      </w:pPr>
      <w:bookmarkStart w:id="15" w:name="_Toc507697022"/>
      <w:r w:rsidRPr="004800F7">
        <w:rPr>
          <w:color w:val="auto"/>
          <w:lang w:val="en-US"/>
        </w:rPr>
        <w:t xml:space="preserve">6.1. </w:t>
      </w:r>
      <w:proofErr w:type="spellStart"/>
      <w:r w:rsidRPr="004800F7">
        <w:rPr>
          <w:color w:val="auto"/>
          <w:lang w:val="en-US"/>
        </w:rPr>
        <w:t>Zasady</w:t>
      </w:r>
      <w:proofErr w:type="spellEnd"/>
      <w:r w:rsidRPr="004800F7">
        <w:rPr>
          <w:color w:val="auto"/>
          <w:lang w:val="en-US"/>
        </w:rPr>
        <w:t xml:space="preserve"> </w:t>
      </w:r>
      <w:proofErr w:type="spellStart"/>
      <w:r w:rsidRPr="004800F7">
        <w:rPr>
          <w:color w:val="auto"/>
          <w:lang w:val="en-US"/>
        </w:rPr>
        <w:t>kontroli</w:t>
      </w:r>
      <w:proofErr w:type="spellEnd"/>
      <w:r w:rsidRPr="004800F7">
        <w:rPr>
          <w:color w:val="auto"/>
          <w:lang w:val="en-US"/>
        </w:rPr>
        <w:t xml:space="preserve"> </w:t>
      </w:r>
      <w:proofErr w:type="spellStart"/>
      <w:r w:rsidRPr="004800F7">
        <w:rPr>
          <w:color w:val="auto"/>
          <w:lang w:val="en-US"/>
        </w:rPr>
        <w:t>ryzka</w:t>
      </w:r>
      <w:proofErr w:type="spellEnd"/>
      <w:r w:rsidRPr="004800F7">
        <w:rPr>
          <w:color w:val="auto"/>
          <w:lang w:val="en-US"/>
        </w:rPr>
        <w:t>, identify risk tracking indicators and measurements</w:t>
      </w:r>
      <w:bookmarkEnd w:id="15"/>
      <w:r w:rsidRPr="004800F7">
        <w:rPr>
          <w:color w:val="auto"/>
          <w:lang w:val="en-US"/>
        </w:rPr>
        <w:t xml:space="preserve"> </w:t>
      </w:r>
    </w:p>
    <w:p w:rsidR="00AE0B27" w:rsidRPr="004800F7" w:rsidRDefault="00AE0B27" w:rsidP="00E77B55">
      <w:pPr>
        <w:pStyle w:val="Nagwek2"/>
        <w:rPr>
          <w:color w:val="auto"/>
          <w:lang w:val="en-US"/>
        </w:rPr>
      </w:pPr>
      <w:bookmarkStart w:id="16" w:name="_Toc507697023"/>
      <w:r w:rsidRPr="004800F7">
        <w:rPr>
          <w:color w:val="auto"/>
          <w:lang w:val="en-US"/>
        </w:rPr>
        <w:t>6.2. Identify the individuals or groups to receive the risk information</w:t>
      </w:r>
      <w:bookmarkEnd w:id="16"/>
      <w:r w:rsidRPr="004800F7">
        <w:rPr>
          <w:color w:val="auto"/>
          <w:lang w:val="en-US"/>
        </w:rPr>
        <w:t xml:space="preserve"> </w:t>
      </w:r>
    </w:p>
    <w:p w:rsidR="00AE0B27" w:rsidRPr="004800F7" w:rsidRDefault="00AE0B27" w:rsidP="00E77B55">
      <w:pPr>
        <w:pStyle w:val="Nagwek2"/>
        <w:spacing w:before="0"/>
        <w:rPr>
          <w:color w:val="auto"/>
        </w:rPr>
      </w:pPr>
      <w:bookmarkStart w:id="17" w:name="_Toc507697024"/>
      <w:r w:rsidRPr="004800F7">
        <w:rPr>
          <w:color w:val="auto"/>
        </w:rPr>
        <w:t>6.3. Harmonogram kontroli i raportowania</w:t>
      </w:r>
      <w:bookmarkEnd w:id="17"/>
      <w:r w:rsidRPr="004800F7">
        <w:rPr>
          <w:color w:val="auto"/>
        </w:rPr>
        <w:t xml:space="preserve"> </w:t>
      </w:r>
    </w:p>
    <w:p w:rsidR="00AE0B27" w:rsidRPr="004800F7" w:rsidRDefault="00AE0B27" w:rsidP="00E77B55">
      <w:pPr>
        <w:pStyle w:val="Nagwek1"/>
        <w:spacing w:before="0"/>
        <w:rPr>
          <w:color w:val="auto"/>
          <w:sz w:val="28"/>
          <w:szCs w:val="28"/>
        </w:rPr>
      </w:pPr>
      <w:bookmarkStart w:id="18" w:name="_Toc507697025"/>
      <w:r w:rsidRPr="004800F7">
        <w:rPr>
          <w:color w:val="auto"/>
          <w:sz w:val="28"/>
          <w:szCs w:val="28"/>
        </w:rPr>
        <w:t>7. Komunikacja, obieg dokumentów w procesie RM</w:t>
      </w:r>
      <w:bookmarkEnd w:id="18"/>
      <w:r w:rsidRPr="004800F7">
        <w:rPr>
          <w:color w:val="auto"/>
          <w:sz w:val="28"/>
          <w:szCs w:val="28"/>
        </w:rPr>
        <w:t xml:space="preserve"> </w:t>
      </w:r>
    </w:p>
    <w:p w:rsidR="00AE0B27" w:rsidRPr="004800F7" w:rsidRDefault="00AE0B27" w:rsidP="00E77B55">
      <w:pPr>
        <w:pStyle w:val="Nagwek1"/>
        <w:spacing w:before="0"/>
        <w:rPr>
          <w:color w:val="auto"/>
          <w:sz w:val="28"/>
          <w:szCs w:val="28"/>
        </w:rPr>
      </w:pPr>
      <w:bookmarkStart w:id="19" w:name="_Toc507697026"/>
      <w:r w:rsidRPr="004800F7">
        <w:rPr>
          <w:color w:val="auto"/>
          <w:sz w:val="28"/>
          <w:szCs w:val="28"/>
        </w:rPr>
        <w:t xml:space="preserve">8. </w:t>
      </w:r>
      <w:proofErr w:type="spellStart"/>
      <w:r w:rsidRPr="004800F7">
        <w:rPr>
          <w:color w:val="auto"/>
          <w:sz w:val="28"/>
          <w:szCs w:val="28"/>
        </w:rPr>
        <w:t>Risk</w:t>
      </w:r>
      <w:proofErr w:type="spellEnd"/>
      <w:r w:rsidRPr="004800F7">
        <w:rPr>
          <w:color w:val="auto"/>
          <w:sz w:val="28"/>
          <w:szCs w:val="28"/>
        </w:rPr>
        <w:t xml:space="preserve"> feedback</w:t>
      </w:r>
      <w:bookmarkEnd w:id="19"/>
      <w:r w:rsidRPr="004800F7">
        <w:rPr>
          <w:color w:val="auto"/>
          <w:sz w:val="28"/>
          <w:szCs w:val="28"/>
        </w:rPr>
        <w:t xml:space="preserve"> </w:t>
      </w:r>
    </w:p>
    <w:p w:rsidR="00AE0B27" w:rsidRPr="004800F7" w:rsidRDefault="00AE0B27" w:rsidP="00E77B55">
      <w:pPr>
        <w:pStyle w:val="Nagwek1"/>
        <w:spacing w:before="0"/>
        <w:rPr>
          <w:color w:val="auto"/>
          <w:sz w:val="28"/>
          <w:szCs w:val="28"/>
        </w:rPr>
      </w:pPr>
      <w:bookmarkStart w:id="20" w:name="_Toc507697027"/>
      <w:r w:rsidRPr="004800F7">
        <w:rPr>
          <w:color w:val="auto"/>
          <w:sz w:val="28"/>
          <w:szCs w:val="28"/>
        </w:rPr>
        <w:t>9. Dokumentacja ryzyka</w:t>
      </w:r>
      <w:bookmarkEnd w:id="20"/>
      <w:r w:rsidRPr="004800F7">
        <w:rPr>
          <w:color w:val="auto"/>
          <w:sz w:val="28"/>
          <w:szCs w:val="28"/>
        </w:rPr>
        <w:t xml:space="preserve"> </w:t>
      </w:r>
    </w:p>
    <w:p w:rsidR="00AE0B27" w:rsidRPr="004800F7" w:rsidRDefault="00AE0B27" w:rsidP="00E77B55">
      <w:pPr>
        <w:pStyle w:val="Nagwek2"/>
        <w:rPr>
          <w:color w:val="auto"/>
        </w:rPr>
      </w:pPr>
      <w:bookmarkStart w:id="21" w:name="_Toc507697028"/>
      <w:r w:rsidRPr="004800F7">
        <w:rPr>
          <w:color w:val="auto"/>
        </w:rPr>
        <w:t>9.1. Lista dokumentów zarządzania ryzykiem</w:t>
      </w:r>
      <w:bookmarkEnd w:id="21"/>
      <w:r w:rsidRPr="004800F7">
        <w:rPr>
          <w:color w:val="auto"/>
        </w:rPr>
        <w:t xml:space="preserve"> </w:t>
      </w:r>
    </w:p>
    <w:p w:rsidR="00AE0B27" w:rsidRPr="004800F7" w:rsidRDefault="00AE0B27" w:rsidP="00E77B55">
      <w:pPr>
        <w:pStyle w:val="Nagwek2"/>
        <w:rPr>
          <w:color w:val="auto"/>
        </w:rPr>
      </w:pPr>
      <w:bookmarkStart w:id="22" w:name="_Toc507697029"/>
      <w:r w:rsidRPr="004800F7">
        <w:rPr>
          <w:color w:val="auto"/>
        </w:rPr>
        <w:t>9.2. Zasady kontroli wersji i dostępu do dokumentów</w:t>
      </w:r>
      <w:bookmarkEnd w:id="22"/>
    </w:p>
    <w:p w:rsidR="00AE0B27" w:rsidRPr="00AE0B27" w:rsidRDefault="00AE0B27" w:rsidP="00AE0B27"/>
    <w:sectPr w:rsidR="00AE0B27" w:rsidRPr="00AE0B27" w:rsidSect="00E77B55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C36" w:rsidRDefault="00B65C36" w:rsidP="00E77B55">
      <w:pPr>
        <w:spacing w:after="0" w:line="240" w:lineRule="auto"/>
      </w:pPr>
      <w:r>
        <w:separator/>
      </w:r>
    </w:p>
  </w:endnote>
  <w:endnote w:type="continuationSeparator" w:id="0">
    <w:p w:rsidR="00B65C36" w:rsidRDefault="00B65C36" w:rsidP="00E7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8856927"/>
      <w:docPartObj>
        <w:docPartGallery w:val="Page Numbers (Bottom of Page)"/>
        <w:docPartUnique/>
      </w:docPartObj>
    </w:sdtPr>
    <w:sdtEndPr/>
    <w:sdtContent>
      <w:p w:rsidR="00E77B55" w:rsidRDefault="00E77B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0F7">
          <w:rPr>
            <w:noProof/>
          </w:rPr>
          <w:t>3</w:t>
        </w:r>
        <w:r>
          <w:fldChar w:fldCharType="end"/>
        </w:r>
      </w:p>
    </w:sdtContent>
  </w:sdt>
  <w:p w:rsidR="00E77B55" w:rsidRDefault="00E77B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C36" w:rsidRDefault="00B65C36" w:rsidP="00E77B55">
      <w:pPr>
        <w:spacing w:after="0" w:line="240" w:lineRule="auto"/>
      </w:pPr>
      <w:r>
        <w:separator/>
      </w:r>
    </w:p>
  </w:footnote>
  <w:footnote w:type="continuationSeparator" w:id="0">
    <w:p w:rsidR="00B65C36" w:rsidRDefault="00B65C36" w:rsidP="00E77B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96"/>
    <w:rsid w:val="0019162A"/>
    <w:rsid w:val="00201A96"/>
    <w:rsid w:val="004800F7"/>
    <w:rsid w:val="0062681B"/>
    <w:rsid w:val="008960BD"/>
    <w:rsid w:val="00A26896"/>
    <w:rsid w:val="00AE0B27"/>
    <w:rsid w:val="00B65C36"/>
    <w:rsid w:val="00E7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D0856-2DA4-4EF5-B442-0103D846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0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0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E0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E0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E0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AE0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0B27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E0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AE0B2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E0B2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E0B27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AE0B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AE0B27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E7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7B55"/>
  </w:style>
  <w:style w:type="paragraph" w:styleId="Stopka">
    <w:name w:val="footer"/>
    <w:basedOn w:val="Normalny"/>
    <w:link w:val="StopkaZnak"/>
    <w:uiPriority w:val="99"/>
    <w:unhideWhenUsed/>
    <w:rsid w:val="00E7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7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2F9B3-3153-4E36-A174-9DBF645E6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470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Oleś</dc:creator>
  <cp:keywords/>
  <dc:description/>
  <cp:lastModifiedBy>Maciej Oleś</cp:lastModifiedBy>
  <cp:revision>5</cp:revision>
  <dcterms:created xsi:type="dcterms:W3CDTF">2018-02-24T11:47:00Z</dcterms:created>
  <dcterms:modified xsi:type="dcterms:W3CDTF">2018-03-01T19:01:00Z</dcterms:modified>
</cp:coreProperties>
</file>