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Style w:val="a28h3g"/>
        <w:numPr/>
        <w:pBdr>
          <w:bottom w:val="thick" w:color="030204" w:sz="8"/>
        </w:pBdr>
        <w:ind/>
        <w:jc w:val="center"/>
        <w:rPr/>
      </w:pPr>
      <w:r>
        <w:rPr>
          <w:rFonts w:ascii="-apple-system" w:hAnsi="-apple-system" w:eastAsia="-apple-system" w:cs="-apple-system"/>
          <w:b/>
          <w:i w:val="false"/>
          <w:strike w:val="false"/>
          <w:color w:val="000000"/>
          <w:spacing w:val="0"/>
          <w:sz w:val="28"/>
          <w:u w:val="none"/>
          <w:shd w:val="clear" w:color="auto" w:fill="FFFFFF"/>
          <w:vertAlign w:val="baseline"/>
        </w:rPr>
        <w:t>【KOL合作Brief】</w:t>
      </w:r>
      <w:r>
        <w:rPr/>
        <w:t>六一探厂</w:t>
      </w:r>
      <w:r>
        <w:rPr>
          <w:rFonts w:hint="eastAsia"/>
        </w:rPr>
        <w:t>三七互娱</w:t>
      </w:r>
    </w:p>
    <w:p>
      <w:pPr>
        <w:numPr/>
        <w:pBdr/>
        <w:snapToGrid/>
        <w:spacing w:before="320" w:after="0" w:line="240"/>
        <w:ind w:left="0" w:right="0" w:hanging="0"/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 xml:space="preserve">【线下打卡时间】6月1日 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 xml:space="preserve"> 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1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2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: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0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0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-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1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4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: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0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0</w:t>
      </w:r>
    </w:p>
    <w:p>
      <w:pPr>
        <w:numPr/>
        <w:pBdr/>
        <w:snapToGrid/>
        <w:spacing w:before="320" w:after="0" w:line="240"/>
        <w:ind w:left="0" w:right="0" w:hanging="0"/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【脚本提交时间】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5</w:t>
      </w: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月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2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9</w:t>
      </w: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号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1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7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点前</w:t>
      </w:r>
    </w:p>
    <w:p>
      <w:pPr>
        <w:numPr/>
        <w:pBdr>
          <w:bottom/>
        </w:pBdr>
        <w:snapToGrid/>
        <w:spacing w:before="320" w:after="0" w:line="240"/>
        <w:ind w:left="0" w:right="0" w:hanging="0"/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【成片时间】6月</w:t>
      </w:r>
      <w:r>
        <w:rPr>
          <w:rFonts w:hint="eastAsia"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5</w:t>
      </w: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号</w:t>
      </w:r>
    </w:p>
    <w:p>
      <w:pPr>
        <w:numPr/>
        <w:pBdr/>
        <w:snapToGrid/>
        <w:spacing w:before="320" w:after="0" w:line="240"/>
        <w:ind w:left="0" w:right="0" w:hanging="0"/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一、内容发布要求</w:t>
      </w:r>
    </w:p>
    <w:p>
      <w:pPr>
        <w:snapToGrid/>
        <w:spacing w:line="360"/>
        <w:ind w:left="0"/>
        <w:rPr/>
      </w:pPr>
    </w:p>
    <w:p>
      <w:pPr>
        <w:pStyle w:val="vj5vfi"/>
        <w:numPr>
          <w:ilvl w:val="0"/>
          <w:numId w:val="1"/>
        </w:numPr>
        <w:pBdr/>
        <w:snapToGrid/>
        <w:spacing w:line="360"/>
        <w:ind/>
        <w:rPr/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内容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形式：</w:t>
      </w:r>
      <w:r>
        <w:rPr>
          <w:rFonts w:hint="eastAsia" w:ascii="inherit" w:hAnsi="inherit" w:eastAsia="inherit" w:cs="inherit"/>
          <w:b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Vlog打卡</w:t>
      </w:r>
      <w:r>
        <w:rPr>
          <w:rFonts w:ascii="revert" w:hAnsi="revert" w:eastAsia="revert" w:cs="rever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视频（1</w:t>
      </w:r>
      <w:r>
        <w:rPr>
          <w:rFonts w:hint="eastAsia" w:ascii="revert" w:hAnsi="revert" w:eastAsia="revert" w:cs="rever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-3</w:t>
      </w:r>
      <w:r>
        <w:rPr>
          <w:rFonts w:ascii="revert" w:hAnsi="revert" w:eastAsia="revert" w:cs="rever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分钟左右）</w:t>
      </w:r>
    </w:p>
    <w:p>
      <w:pPr>
        <w:pStyle w:val="ablt93"/>
        <w:snapToGrid/>
        <w:spacing w:line="360"/>
        <w:ind/>
        <w:rPr/>
      </w:pPr>
    </w:p>
    <w:p>
      <w:pPr>
        <w:pStyle w:val="vj5vfi"/>
        <w:numPr>
          <w:ilvl w:val="0"/>
          <w:numId w:val="1"/>
        </w:numPr>
        <w:pBdr>
          <w:bottom/>
        </w:pBdr>
        <w:snapToGrid/>
        <w:spacing w:line="360"/>
        <w:ind/>
        <w:rPr/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必带核心元素</w:t>
      </w:r>
    </w:p>
    <w:p>
      <w:pPr>
        <w:numPr>
          <w:ilvl w:val="0"/>
          <w:numId w:val="2"/>
        </w:numPr>
        <w:pBdr/>
        <w:snapToGrid/>
        <w:spacing w:line="360"/>
        <w:ind/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画面需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带有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三七互娱品牌标识、新生代基金 2 周年相关图片</w:t>
      </w:r>
    </w:p>
    <w:p>
      <w:pPr>
        <w:pBdr/>
        <w:snapToGrid/>
        <w:spacing w:line="360"/>
        <w:ind w:left="336"/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drawing>
          <wp:inline distT="0" distB="0" distL="0" distR="0">
            <wp:extent cx="3593261" cy="2019338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593261" cy="2019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snapToGrid/>
        <w:spacing w:line="360"/>
        <w:ind w:left="336"/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</w:pPr>
    </w:p>
    <w:p>
      <w:pPr>
        <w:pBdr/>
        <w:snapToGrid/>
        <w:spacing w:line="360"/>
        <w:ind w:left="336"/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drawing>
          <wp:inline distT="0" distB="0" distL="0" distR="0">
            <wp:extent cx="3506470" cy="194803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>
                      <a:extLst/>
                    </a:blip>
                    <a:stretch/>
                  </pic:blipFill>
                  <pic:spPr>
                    <a:xfrm flipH="false" flipV="false">
                      <a:off x="0" y="0"/>
                      <a:ext cx="3506470" cy="194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napToGrid/>
        <w:spacing w:line="360"/>
        <w:ind w:left="336"/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</w:pPr>
    </w:p>
    <w:p>
      <w:pPr>
        <w:snapToGrid/>
        <w:spacing w:line="360"/>
        <w:ind w:left="0"/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 xml:space="preserve">2. 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文案 / 口播需明确提及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 xml:space="preserve"> </w:t>
      </w:r>
      <w:r>
        <w:rPr>
          <w:rFonts w:hint="eastAsia"/>
          <w:b/>
          <w:i w:val="false"/>
          <w:strike w:val="false"/>
          <w:color w:val="1F2329"/>
          <w:sz w:val="24"/>
          <w:u w:val="none"/>
          <w:shd w:val="clear" w:color="auto" w:fill="auto"/>
        </w:rPr>
        <w:t>游戏</w:t>
      </w:r>
      <w:r>
        <w:rPr>
          <w:rFonts w:hint="eastAsia"/>
          <w:b/>
          <w:i w:val="false"/>
          <w:strike w:val="false"/>
          <w:color w:val="1F2329"/>
          <w:sz w:val="24"/>
          <w:u w:val="none"/>
          <w:shd w:val="clear" w:color="auto" w:fill="auto"/>
        </w:rPr>
        <w:t>大厂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三七互娱新生代基金 2 周年</w:t>
      </w:r>
      <w:r>
        <w:rPr>
          <w:rFonts w:hint="eastAsia"/>
          <w:b/>
          <w:i w:val="false"/>
          <w:strike w:val="false"/>
          <w:color w:val="1F2329"/>
          <w:sz w:val="24"/>
          <w:u w:val="none"/>
          <w:shd w:val="clear" w:color="auto" w:fill="auto"/>
        </w:rPr>
        <w:t>，</w:t>
      </w:r>
      <w:r>
        <w:rPr>
          <w:rFonts w:hint="eastAsia"/>
          <w:b/>
          <w:i w:val="false"/>
          <w:strike w:val="false"/>
          <w:color w:val="1F2329"/>
          <w:sz w:val="24"/>
          <w:u w:val="none"/>
          <w:shd w:val="clear" w:color="auto" w:fill="auto"/>
        </w:rPr>
        <w:t>投入</w:t>
      </w:r>
      <w:r>
        <w:rPr>
          <w:rFonts w:hint="eastAsia"/>
          <w:b/>
          <w:i w:val="false"/>
          <w:strike w:val="false"/>
          <w:color w:val="1F2329"/>
          <w:sz w:val="24"/>
          <w:u w:val="none"/>
          <w:shd w:val="clear" w:color="auto" w:fill="auto"/>
        </w:rPr>
        <w:t>1</w:t>
      </w:r>
      <w:r>
        <w:rPr>
          <w:rFonts w:hint="eastAsia"/>
          <w:b/>
          <w:i w:val="false"/>
          <w:strike w:val="false"/>
          <w:color w:val="1F2329"/>
          <w:sz w:val="24"/>
          <w:u w:val="none"/>
          <w:shd w:val="clear" w:color="auto" w:fill="auto"/>
        </w:rPr>
        <w:t>0</w:t>
      </w:r>
      <w:r>
        <w:rPr>
          <w:rFonts w:hint="eastAsia"/>
          <w:b/>
          <w:i w:val="false"/>
          <w:strike w:val="false"/>
          <w:color w:val="1F2329"/>
          <w:sz w:val="24"/>
          <w:u w:val="none"/>
          <w:shd w:val="clear" w:color="auto" w:fill="auto"/>
        </w:rPr>
        <w:t>0</w:t>
      </w:r>
      <w:r>
        <w:rPr>
          <w:rFonts w:hint="eastAsia"/>
          <w:b/>
          <w:i w:val="false"/>
          <w:strike w:val="false"/>
          <w:color w:val="1F2329"/>
          <w:sz w:val="24"/>
          <w:u w:val="none"/>
          <w:shd w:val="clear" w:color="auto" w:fill="auto"/>
        </w:rPr>
        <w:t>0</w:t>
      </w:r>
      <w:r>
        <w:rPr>
          <w:rFonts w:hint="eastAsia"/>
          <w:b/>
          <w:i w:val="false"/>
          <w:strike w:val="false"/>
          <w:color w:val="1F2329"/>
          <w:sz w:val="24"/>
          <w:u w:val="none"/>
          <w:shd w:val="clear" w:color="auto" w:fill="auto"/>
        </w:rPr>
        <w:t>万</w:t>
      </w:r>
      <w:r>
        <w:rPr>
          <w:rFonts w:hint="eastAsia"/>
          <w:b/>
          <w:i w:val="false"/>
          <w:strike w:val="false"/>
          <w:color w:val="1F2329"/>
          <w:sz w:val="24"/>
          <w:u w:val="none"/>
          <w:shd w:val="clear" w:color="auto" w:fill="auto"/>
        </w:rPr>
        <w:t>生育基金</w:t>
      </w:r>
    </w:p>
    <w:p>
      <w:pPr>
        <w:pBdr/>
        <w:snapToGrid/>
        <w:spacing w:line="360"/>
        <w:ind w:left="0"/>
        <w:rPr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3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.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 xml:space="preserve"> 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必带话题标签：</w:t>
      </w:r>
    </w:p>
    <w:p>
      <w:pPr>
        <w:snapToGrid/>
        <w:spacing w:line="360"/>
        <w:ind w:left="0"/>
        <w:rPr/>
      </w:pPr>
      <w:r>
        <w:rPr>
          <w:rFonts w:hint="eastAsia" w:ascii="revert" w:hAnsi="revert" w:eastAsia="revert" w:cs="revert"/>
          <w:i w:val="false"/>
          <w:strike w:val="false"/>
          <w:color w:val="auto"/>
          <w:spacing w:val="0"/>
          <w:sz w:val="24"/>
          <w:u w:val="none"/>
          <w:shd w:val="clear" w:color="auto" w:fill="auto"/>
          <w:vertAlign w:val="baseline"/>
        </w:rPr>
        <w:t>#广州游戏大厂三</w:t>
      </w:r>
      <w:r>
        <w:rPr>
          <w:rFonts w:hint="eastAsia" w:ascii="revert" w:hAnsi="revert" w:eastAsia="revert" w:cs="rever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七互娱 #好会玩的游戏大厂三七互娱</w:t>
      </w:r>
      <w:r>
        <w:rPr>
          <w:rFonts w:hint="eastAsia" w:ascii="revert" w:hAnsi="revert" w:eastAsia="revert" w:cs="revert"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 xml:space="preserve"> </w:t>
      </w:r>
      <w:r>
        <w:rPr>
          <w:i w:val="false"/>
          <w:strike w:val="false"/>
          <w:color w:val="000000"/>
          <w:u w:val="none"/>
        </w:rPr>
        <w:t>#三七新生代 </w:t>
      </w:r>
      <w:r>
        <w:rPr>
          <w:rFonts w:hint="eastAsia"/>
          <w:i w:val="false"/>
          <w:strike w:val="false"/>
          <w:color w:val="000000"/>
          <w:u w:val="none"/>
        </w:rPr>
        <w:t xml:space="preserve"> </w:t>
      </w:r>
      <w:r>
        <w:rPr>
          <w:i w:val="false"/>
          <w:strike w:val="false"/>
          <w:color w:val="000000"/>
          <w:u w:val="none"/>
        </w:rPr>
        <w:t>#三七互娱生育基金1000w</w:t>
      </w:r>
    </w:p>
    <w:p>
      <w:pPr>
        <w:numPr>
          <w:ilvl w:val="0"/>
          <w:numId w:val="3"/>
        </w:numPr>
        <w:pBdr/>
        <w:snapToGrid/>
        <w:spacing w:line="360"/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内容逻辑： 六一玩心活动 → 自然引出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新生代基金 2 周年</w:t>
      </w:r>
      <w:r>
        <w:rPr>
          <w:i w:val="false"/>
          <w:strike w:val="false"/>
          <w:color w:val="000000"/>
          <w:u w:val="none"/>
        </w:rPr>
        <w:t xml:space="preserve"> 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→ 讲清基金价值与公司关怀</w:t>
      </w:r>
    </w:p>
    <w:p>
      <w:pPr>
        <w:pBdr>
          <w:bottom w:val="thick" w:color="000000" w:sz="8"/>
        </w:pBdr>
        <w:ind w:left="0"/>
        <w:rPr/>
      </w:pPr>
    </w:p>
    <w:p>
      <w:pPr>
        <w:numPr>
          <w:ilvl w:val="0"/>
          <w:numId w:val="4"/>
        </w:numPr>
        <w:pBdr/>
        <w:snapToGrid/>
        <w:spacing w:before="320" w:after="0" w:line="240"/>
        <w:ind/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活动核心背景</w:t>
      </w:r>
    </w:p>
    <w:p>
      <w:pPr>
        <w:pBdr>
          <w:bottom/>
        </w:pBdr>
        <w:snapToGrid/>
        <w:spacing w:before="320" w:after="0" w:line="240"/>
        <w:ind w:left="0"/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</w:p>
    <w:p>
      <w:pPr>
        <w:pStyle w:val="op6gol"/>
        <w:snapToGrid/>
        <w:spacing w:line="360"/>
        <w:ind w:left="0"/>
        <w:rPr/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1. 活动核心目的</w:t>
      </w:r>
    </w:p>
    <w:p>
      <w:pPr>
        <w:pBdr/>
        <w:snapToGrid/>
        <w:spacing w:line="360"/>
        <w:ind w:left="0"/>
        <w:rPr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借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「六一玩心企划」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的欢乐氛围，重点传播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「三七新生代基金 2 周年」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，将公司的硬核福利与人文关怀具象化、故事化。</w:t>
      </w:r>
    </w:p>
    <w:p>
      <w:pPr>
        <w:pBdr/>
        <w:snapToGrid/>
        <w:spacing w:line="360"/>
        <w:ind w:left="0"/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</w:pPr>
    </w:p>
    <w:p>
      <w:pPr>
        <w:pStyle w:val="weggz5"/>
        <w:snapToGrid/>
        <w:spacing w:line="360"/>
        <w:ind/>
        <w:rPr/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2. 关于「新生代基金」</w:t>
      </w:r>
    </w:p>
    <w:p>
      <w:pPr>
        <w:pBdr/>
        <w:snapToGrid/>
        <w:spacing w:line="360"/>
        <w:ind w:left="0"/>
        <w:rPr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定位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：这是三七互娱为了更好地关怀员工生活，于 2024 年设立的一项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专项生育支持基金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，充分体现了公司对员工人生重要阶段的支持与陪伴。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（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要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转化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成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你们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自己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语言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）</w:t>
      </w:r>
    </w:p>
    <w:p>
      <w:pPr>
        <w:snapToGrid/>
        <w:spacing w:line="360"/>
        <w:ind w:left="0"/>
        <w:rPr/>
      </w:pPr>
    </w:p>
    <w:p>
      <w:pPr>
        <w:snapToGrid/>
        <w:spacing w:line="360"/>
        <w:ind w:left="0"/>
        <w:rPr/>
      </w:pP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核心数据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：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2024 年 6 月 13 日正式启动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，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初始注入资金：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1000 万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。</w:t>
      </w:r>
    </w:p>
    <w:p>
      <w:pPr>
        <w:snapToGrid/>
        <w:spacing w:line="360"/>
        <w:ind w:left="776"/>
        <w:rPr/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福利标准：为符合条件的在职员工（司龄满 2 年）提供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每胎 2 万元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的生育支持（男女员工均可享受）。</w:t>
      </w:r>
    </w:p>
    <w:p>
      <w:pPr>
        <w:pBdr/>
        <w:snapToGrid/>
        <w:spacing w:line="360"/>
        <w:ind w:left="776"/>
        <w:rPr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两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周年成果：活动启动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；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两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周年以来，已覆盖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235+组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员工家庭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，累计发放福利金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470+万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元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，员工满意度达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100%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。</w:t>
      </w:r>
    </w:p>
    <w:p>
      <w:pPr>
        <w:pBdr>
          <w:bottom w:val="thick" w:color="000000" w:sz="8"/>
        </w:pBdr>
        <w:ind w:left="0"/>
        <w:rPr/>
      </w:pPr>
    </w:p>
    <w:p>
      <w:pPr>
        <w:numPr>
          <w:ilvl w:val="0"/>
          <w:numId w:val="5"/>
        </w:numPr>
        <w:pBdr/>
        <w:snapToGrid/>
        <w:spacing w:before="320" w:after="0" w:line="240"/>
        <w:ind/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  <w:t>打卡核心亮点 &amp; 必拍内容</w:t>
      </w:r>
    </w:p>
    <w:p>
      <w:pPr>
        <w:pBdr/>
        <w:snapToGrid/>
        <w:spacing w:before="320" w:after="0" w:line="240"/>
        <w:ind w:left="462"/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FFFFF"/>
          <w:vertAlign w:val="baseline"/>
        </w:rPr>
      </w:pPr>
    </w:p>
    <w:p>
      <w:pPr>
        <w:pStyle w:val="weggz5"/>
        <w:numPr>
          <w:ilvl w:val="0"/>
          <w:numId w:val="6"/>
        </w:numPr>
        <w:pBdr>
          <w:bottom/>
        </w:pBdr>
        <w:snapToGrid/>
        <w:spacing w:line="360"/>
        <w:rPr/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「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我们的孩子气」公益专区（1 楼）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 xml:space="preserve">/  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六一公益捐书爱心行动（2 楼中庭）</w:t>
      </w:r>
    </w:p>
    <w:p>
      <w:pPr>
        <w:numPr/>
        <w:pBdr/>
        <w:snapToGrid/>
        <w:spacing w:line="360"/>
        <w:ind w:left="0"/>
        <w:rPr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 xml:space="preserve"> 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口播参考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：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“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逛完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公益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区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真的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感觉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哈特暖暖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没想到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对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员工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关怀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也很实在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！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听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路过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的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员工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提到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今年刚好是三七新生代基金 2 周年，千万福利守护员工人生重要时刻，社会关怀 + 员工关怀双拉满，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啊，我也好想入职啊！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”</w:t>
      </w:r>
    </w:p>
    <w:p>
      <w:pPr>
        <w:numPr/>
        <w:pBdr>
          <w:bottom/>
        </w:pBdr>
        <w:snapToGrid/>
        <w:spacing w:line="360"/>
        <w:ind w:left="0"/>
        <w:rPr>
          <w:i w:val="false"/>
          <w:strike w:val="false"/>
          <w:color w:val="1F2329"/>
          <w:sz w:val="24"/>
          <w:u w:val="none"/>
          <w:shd w:val="clear" w:color="auto" w:fill="auto"/>
        </w:rPr>
      </w:pPr>
    </w:p>
    <w:p>
      <w:pPr>
        <w:pStyle w:val="weggz5"/>
        <w:numPr>
          <w:ilvl w:val="0"/>
          <w:numId w:val="6"/>
        </w:numPr>
        <w:pBdr>
          <w:bottom/>
        </w:pBdr>
        <w:snapToGrid/>
        <w:spacing w:line="360"/>
        <w:rPr/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玩心幼稚园互动游戏区（3 楼多功能厅）</w:t>
      </w:r>
    </w:p>
    <w:p>
      <w:pPr>
        <w:numPr/>
        <w:snapToGrid/>
        <w:spacing w:line="360"/>
        <w:ind w:left="0"/>
        <w:rPr/>
      </w:pP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拍摄内容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：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可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沉浸式体验 1-2 款趣味小游戏。</w:t>
      </w:r>
    </w:p>
    <w:p>
      <w:pPr>
        <w:numPr/>
        <w:snapToGrid/>
        <w:spacing w:line="360"/>
        <w:ind w:left="776"/>
        <w:rPr/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1.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拍摄集章打卡、抽奖的过程。</w:t>
      </w:r>
    </w:p>
    <w:p>
      <w:pPr>
        <w:numPr/>
        <w:snapToGrid/>
        <w:spacing w:line="360"/>
        <w:ind w:left="776"/>
        <w:rPr/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2.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捕捉现场员工欢乐互动的氛围。</w:t>
      </w:r>
    </w:p>
    <w:p>
      <w:pPr>
        <w:numPr/>
        <w:pBdr/>
        <w:snapToGrid/>
        <w:spacing w:line="360"/>
        <w:ind w:left="0"/>
        <w:rPr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 xml:space="preserve"> 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口播参考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：“哇，三七互娱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真的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把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员工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当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小孩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宠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，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又能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玩游戏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又能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抽奖，这也太好了吧！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而且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，我听说今年刚好是他们</w:t>
      </w: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新生代基金 2 周年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，生娃公司给补贴，简直是打工人的福音！”</w:t>
      </w:r>
    </w:p>
    <w:p>
      <w:pPr>
        <w:numPr/>
        <w:snapToGrid/>
        <w:spacing w:line="360"/>
        <w:ind w:left="0"/>
        <w:rPr/>
      </w:pPr>
    </w:p>
    <w:p>
      <w:pPr>
        <w:pStyle w:val="weggz5"/>
        <w:numPr>
          <w:ilvl w:val="0"/>
          <w:numId w:val="6"/>
        </w:numPr>
        <w:snapToGrid/>
        <w:spacing w:line="360"/>
        <w:ind/>
        <w:rPr/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「今天我蒸蚌！」自我肯定互动</w:t>
      </w:r>
    </w:p>
    <w:p>
      <w:pPr>
        <w:numPr/>
        <w:pBdr>
          <w:bottom/>
        </w:pBdr>
        <w:snapToGrid/>
        <w:spacing w:line="360"/>
        <w:ind/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口播参考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：“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真的有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被这个环节治愈到～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看来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三七不只关注工作，更在意员工情绪与生活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→引出生育基金</w:t>
      </w:r>
    </w:p>
    <w:p>
      <w:pPr>
        <w:numPr/>
        <w:pBdr>
          <w:bottom w:val="thick" w:color="050102" w:sz="8"/>
        </w:pBdr>
        <w:snapToGrid/>
        <w:spacing w:line="360"/>
        <w:ind/>
        <w:rPr/>
      </w:pPr>
    </w:p>
    <w:p>
      <w:pPr>
        <w:pStyle w:val="a28h3g"/>
        <w:numPr/>
        <w:pBdr/>
        <w:snapToGrid/>
        <w:spacing w:line="360"/>
        <w:ind/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</w:pPr>
    </w:p>
    <w:p>
      <w:pPr>
        <w:pStyle w:val="a28h3g"/>
        <w:numPr/>
        <w:snapToGrid/>
        <w:spacing w:line="360"/>
        <w:ind/>
        <w:rPr/>
      </w:pP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四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、选题方向参考（仅供参考，鼓励自由发挥）</w:t>
      </w:r>
    </w:p>
    <w:p>
      <w:pPr>
        <w:numPr/>
        <w:snapToGrid/>
        <w:spacing w:line="360"/>
        <w:ind w:left="0"/>
        <w:rPr/>
      </w:pPr>
    </w:p>
    <w:p>
      <w:pPr>
        <w:pStyle w:val="weggz5"/>
        <w:numPr/>
        <w:snapToGrid/>
        <w:spacing w:line="360"/>
        <w:ind/>
        <w:rPr/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 xml:space="preserve"> 选题方向一：【职场 / 大厂生活类】—— 《游戏大厂的六一，居然藏着这样的福利？》</w:t>
      </w:r>
    </w:p>
    <w:p>
      <w:pPr>
        <w:numPr/>
        <w:snapToGrid/>
        <w:spacing w:line="360"/>
        <w:ind w:left="0"/>
        <w:rPr/>
      </w:pPr>
    </w:p>
    <w:p>
      <w:pPr>
        <w:numPr/>
        <w:pBdr/>
        <w:snapToGrid/>
        <w:spacing w:line="360"/>
        <w:ind w:left="0"/>
        <w:rPr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核心逻辑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：以 “沉浸式体验游戏大厂六一” 为主题，通过展示丰富的活动和奖品，在视频高潮或结尾处，重磅推出 “新生代基金 2 周年” 这一福利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。</w:t>
      </w:r>
    </w:p>
    <w:p>
      <w:pPr>
        <w:numPr/>
        <w:snapToGrid/>
        <w:spacing w:line="360"/>
        <w:ind w:left="0"/>
        <w:rPr/>
      </w:pPr>
    </w:p>
    <w:p>
      <w:pPr>
        <w:pStyle w:val="weggz5"/>
        <w:numPr/>
        <w:snapToGrid/>
        <w:spacing w:line="360"/>
        <w:ind/>
        <w:rPr/>
      </w:pP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 xml:space="preserve"> 选题方向二：【情感 / 治愈类】—— 《被这家公司暖到了！在三七做回快乐小孩》</w:t>
      </w:r>
    </w:p>
    <w:p>
      <w:pPr>
        <w:numPr/>
        <w:snapToGrid/>
        <w:spacing w:line="360"/>
        <w:ind w:left="0"/>
        <w:rPr/>
      </w:pPr>
    </w:p>
    <w:p>
      <w:pPr>
        <w:numPr/>
        <w:pBdr>
          <w:bottom/>
        </w:pBdr>
        <w:snapToGrid/>
        <w:spacing w:line="360"/>
        <w:ind w:left="0"/>
        <w:rPr>
          <w:i w:val="false"/>
          <w:strike w:val="false"/>
          <w:color w:val="1F2329"/>
          <w:sz w:val="24"/>
          <w:u w:val="none"/>
          <w:shd w:val="clear" w:color="auto" w:fill="auto"/>
        </w:rPr>
      </w:pPr>
      <w:r>
        <w:rPr>
          <w:b/>
          <w:i w:val="false"/>
          <w:strike w:val="false"/>
          <w:color w:val="1F2329"/>
          <w:sz w:val="24"/>
          <w:u w:val="none"/>
          <w:shd w:val="clear" w:color="auto" w:fill="auto"/>
        </w:rPr>
        <w:t>核心逻辑</w:t>
      </w:r>
      <w:r>
        <w:rPr>
          <w:i w:val="false"/>
          <w:strike w:val="false"/>
          <w:color w:val="1F2329"/>
          <w:sz w:val="24"/>
          <w:u w:val="none"/>
          <w:shd w:val="clear" w:color="auto" w:fill="auto"/>
        </w:rPr>
        <w:t>：从个人情感体验出发，自然过渡到对公司文化的思考，通过 “新生代基金 2 周年” 的具体事例，展现公司如何为员工的 “幸福未来” 保驾护航</w:t>
      </w:r>
      <w:r>
        <w:rPr>
          <w:rFonts w:hint="eastAsia"/>
          <w:i w:val="false"/>
          <w:strike w:val="false"/>
          <w:color w:val="1F2329"/>
          <w:sz w:val="24"/>
          <w:u w:val="none"/>
          <w:shd w:val="clear" w:color="auto" w:fill="auto"/>
        </w:rPr>
        <w:t>。</w:t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4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</w:abstractNum>
  <w:abstractNum w:abstractNumId="2"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1">
      <w:start w:val="1"/>
      <w:numFmt w:val="lowerLetter"/>
      <w:lvlText w:val="%2."/>
      <w:lvlJc w:val="left"/>
      <w:pPr>
        <w:ind w:left="7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3">
    <w:lvl w:ilvl="2">
      <w:start w:val="1"/>
      <w:numFmt w:val="decimal"/>
      <w:lvlText w:val="%1.%2.%3."/>
      <w:lvlJc w:val="left"/>
      <w:pPr>
        <w:ind w:left="1552" w:hanging="672"/>
      </w:pPr>
      <w:rPr/>
    </w:lvl>
    <w:lvl w:ilvl="6">
      <w:start w:val="1"/>
      <w:numFmt w:val="decimal"/>
      <w:lvlText w:val="%1.%2.%3.%4.%5.%6.%7."/>
      <w:lvlJc w:val="left"/>
      <w:pPr>
        <w:ind w:left="3984" w:hanging="1344"/>
      </w:pPr>
      <w:rPr/>
    </w:lvl>
    <w:lvl w:ilvl="8">
      <w:start w:val="1"/>
      <w:numFmt w:val="decimal"/>
      <w:lvlText w:val="%1.%2.%3.%4.%5.%6.%7.%8.%9."/>
      <w:lvlJc w:val="left"/>
      <w:pPr>
        <w:ind w:left="5200" w:hanging="1680"/>
      </w:pPr>
      <w:rPr/>
    </w:lvl>
    <w:lvl w:ilvl="7">
      <w:start w:val="1"/>
      <w:numFmt w:val="decimal"/>
      <w:lvlText w:val="%1.%2.%3.%4.%5.%6.%7.%8."/>
      <w:lvlJc w:val="left"/>
      <w:pPr>
        <w:ind w:left="4592" w:hanging="1512"/>
      </w:pPr>
      <w:rPr/>
    </w:lvl>
    <w:lvl w:ilvl="4">
      <w:start w:val="1"/>
      <w:numFmt w:val="decimal"/>
      <w:lvlText w:val="%1.%2.%3.%4.%5."/>
      <w:lvlJc w:val="left"/>
      <w:pPr>
        <w:ind w:left="2768" w:hanging="1008"/>
      </w:pPr>
      <w:rPr/>
    </w:lvl>
    <w:lvl w:ilvl="0">
      <w:start w:val="1"/>
      <w:numFmt w:val="decimal"/>
      <w:lvlText w:val="%1."/>
      <w:lvlJc w:val="left"/>
      <w:pPr>
        <w:tabs/>
        <w:ind w:left="336" w:hanging="336"/>
      </w:pPr>
      <w:rPr>
        <w:rFonts w:hint="default" w:ascii="" w:hAnsi="" w:cs=""/>
      </w:rPr>
    </w:lvl>
    <w:lvl w:ilvl="5">
      <w:start w:val="1"/>
      <w:numFmt w:val="decimal"/>
      <w:lvlText w:val="%1.%2.%3.%4.%5.%6."/>
      <w:lvlJc w:val="left"/>
      <w:pPr>
        <w:ind w:left="3376" w:hanging="1176"/>
      </w:pPr>
      <w:rPr/>
    </w:lvl>
    <w:lvl w:ilvl="1">
      <w:start w:val="1"/>
      <w:numFmt w:val="decimal"/>
      <w:lvlText w:val="%1.%2."/>
      <w:lvlJc w:val="left"/>
      <w:pPr>
        <w:ind w:left="944" w:hanging="504"/>
      </w:pPr>
      <w:rPr/>
    </w:lvl>
    <w:lvl w:ilvl="3">
      <w:start w:val="1"/>
      <w:numFmt w:val="decimal"/>
      <w:lvlText w:val="%1.%2.%3.%4."/>
      <w:lvlJc w:val="left"/>
      <w:pPr>
        <w:ind w:left="2160" w:hanging="840"/>
      </w:pPr>
      <w:rPr/>
    </w:lvl>
  </w:abstractNum>
  <w:abstractNum w:abstractNumId="4">
    <w:lvl w:ilvl="1">
      <w:start w:val="1"/>
      <w:numFmt w:val="decimal"/>
      <w:lvlText w:val="%1.%2."/>
      <w:lvlJc w:val="left"/>
      <w:pPr>
        <w:ind w:left="944" w:hanging="504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decimal"/>
      <w:lvlText w:val="%1.%2.%3.%4.%5.%6."/>
      <w:lvlJc w:val="left"/>
      <w:pPr>
        <w:ind w:left="3376" w:hanging="1176"/>
      </w:pPr>
    </w:lvl>
    <w:lvl w:ilvl="2">
      <w:start w:val="1"/>
      <w:numFmt w:val="decimal"/>
      <w:lvlText w:val="%1.%2.%3."/>
      <w:lvlJc w:val="left"/>
      <w:pPr>
        <w:ind w:left="1552" w:hanging="672"/>
      </w:pPr>
    </w:lvl>
    <w:lvl w:ilvl="7">
      <w:start w:val="1"/>
      <w:numFmt w:val="decimal"/>
      <w:lvlText w:val="%1.%2.%3.%4.%5.%6.%7.%8."/>
      <w:lvlJc w:val="left"/>
      <w:pPr>
        <w:ind w:left="4592" w:hanging="1512"/>
      </w:pPr>
    </w:lvl>
    <w:lvl w:ilvl="4">
      <w:start w:val="1"/>
      <w:numFmt w:val="decimal"/>
      <w:lvlText w:val="%1.%2.%3.%4.%5."/>
      <w:lvlJc w:val="left"/>
      <w:pPr>
        <w:ind w:left="2768" w:hanging="1008"/>
      </w:pPr>
    </w:lvl>
    <w:lvl w:ilvl="6">
      <w:start w:val="1"/>
      <w:numFmt w:val="decimal"/>
      <w:lvlText w:val="%1.%2.%3.%4.%5.%6.%7."/>
      <w:lvlJc w:val="left"/>
      <w:pPr>
        <w:ind w:left="3984" w:hanging="1344"/>
      </w:pPr>
    </w:lvl>
    <w:lvl w:ilvl="8">
      <w:start w:val="1"/>
      <w:numFmt w:val="decimal"/>
      <w:lvlText w:val="%1.%2.%3.%4.%5.%6.%7.%8.%9."/>
      <w:lvlJc w:val="left"/>
      <w:pPr>
        <w:ind w:left="5200" w:hanging="1680"/>
      </w:pPr>
    </w:lvl>
    <w:lvl w:ilvl="3">
      <w:start w:val="1"/>
      <w:numFmt w:val="decimal"/>
      <w:lvlText w:val="%1.%2.%3.%4."/>
      <w:lvlJc w:val="left"/>
      <w:pPr>
        <w:ind w:left="2160" w:hanging="840"/>
      </w:pPr>
    </w:lvl>
  </w:abstractNum>
  <w:abstractNum w:abstractNumId="5">
    <w:lvl w:ilvl="6">
      <w:start w:val="1"/>
      <w:numFmt w:val="chineseCountingThousand"/>
      <w:lvlText w:val="%7、"/>
      <w:lvlJc w:val="left"/>
      <w:pPr>
        <w:ind w:left="3102" w:hanging="462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0">
      <w:start w:val="2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  <w:lvl w:ilvl="8">
      <w:start w:val="1"/>
      <w:numFmt w:val="lowerLetter"/>
      <w:lvlText w:val="%9)"/>
      <w:lvlJc w:val="left"/>
      <w:pPr>
        <w:ind w:left="3856" w:hanging="336"/>
      </w:pPr>
    </w:lvl>
    <w:lvl w:ilvl="1">
      <w:start w:val="1"/>
      <w:numFmt w:val="decimal"/>
      <w:lvlText w:val="%2、"/>
      <w:lvlJc w:val="left"/>
      <w:pPr>
        <w:ind w:left="77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</w:abstractNum>
  <w:abstractNum w:abstractNumId="6">
    <w:lvl w:ilvl="1">
      <w:start w:val="1"/>
      <w:numFmt w:val="decimal"/>
      <w:lvlText w:val="%2、"/>
      <w:lvlJc w:val="left"/>
      <w:pPr>
        <w:ind w:left="77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5">
      <w:start w:val="1"/>
      <w:numFmt w:val="lowerLetter"/>
      <w:lvlText w:val="%6)"/>
      <w:lvlJc w:val="left"/>
      <w:pPr>
        <w:ind w:left="253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0">
      <w:start w:val="3"/>
      <w:numFmt w:val="chineseCountingThousand"/>
      <w:lvlText w:val="%1、"/>
      <w:lvlJc w:val="left"/>
      <w:pPr>
        <w:ind w:left="462" w:hanging="462"/>
      </w:pPr>
      <w:rPr>
        <w:rFonts w:hint="default" w:ascii="" w:hAnsi="" w:cs=""/>
      </w:rPr>
    </w:lvl>
  </w:abstractNum>
  <w:num w:numId="3">
    <w:abstractNumId w:val="1"/>
  </w:num>
  <w:num w:numId="5">
    <w:abstractNumId w:val="6"/>
  </w:num>
  <w:num w:numId="6">
    <w:abstractNumId w:val="4"/>
  </w:num>
  <w:num w:numId="2">
    <w:abstractNumId w:val="2"/>
  </w:num>
  <w:num w:numId="1">
    <w:abstractNumId w:val="3"/>
  </w:num>
  <w:num w:numId="4">
    <w:abstractNumId w:val="5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p6cp5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2wlv9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4x6kkx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8jdc7b">
    <w:name w:val="Sub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1"/>
    </w:pPr>
    <w:rPr>
      <w:b/>
      <w:bCs/>
      <w:color w:val="5C5C5C"/>
      <w:sz w:val="36"/>
      <w:szCs w:val="36"/>
    </w:rPr>
  </w:style>
  <w:style w:type="paragraph" w:styleId="3sfpq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or426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3mw39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eggz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a28h3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coafi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ablt93" w:default="true">
    <w:name w:val="Normal"/>
    <w:pPr>
      <w:widowControl w:val="false"/>
      <w:jc w:val="left"/>
    </w:pPr>
  </w:style>
  <w:style w:type="paragraph" w:styleId="op6go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azefcm">
    <w:name w:val="Table Grid"/>
    <w:basedOn w:val="or426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6owftm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vj5vf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tcna6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2026-09-15T12:29:42Z</dcterms:created>
  <dcterms:modified xsi:type="dcterms:W3CDTF">2026-09-15T12:29:42Z</dcterms:modified>
</cp:coreProperties>
</file>