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4CEE" w14:textId="77777777" w:rsidR="00F33E99" w:rsidRPr="00F33E99" w:rsidRDefault="00F33E99" w:rsidP="00F33E99">
      <w:r w:rsidRPr="00F33E99">
        <w:t>Bivariate Analysis: HS_GWA vs First_Year_GWA</w:t>
      </w:r>
    </w:p>
    <w:p w14:paraId="7F0F319B" w14:textId="77777777" w:rsidR="00F33E99" w:rsidRPr="00F33E99" w:rsidRDefault="00F33E99" w:rsidP="00F33E99">
      <w:r w:rsidRPr="00F33E99">
        <w:t>Correlation</w:t>
      </w:r>
    </w:p>
    <w:p w14:paraId="04EEFDC6" w14:textId="77777777" w:rsidR="00F33E99" w:rsidRPr="00F33E99" w:rsidRDefault="00F33E99" w:rsidP="00F33E99">
      <w:r w:rsidRPr="00F33E99">
        <w:t>The correlation between HS_GWA and First_Year_GWA is 0.626. This indicates a moderate to strong positive relationship, meaning that as high school performance increases, first-year university performance also tends to increase.</w:t>
      </w:r>
    </w:p>
    <w:p w14:paraId="5F8A4F26" w14:textId="77777777" w:rsidR="00F33E99" w:rsidRPr="00F33E99" w:rsidRDefault="00F33E99" w:rsidP="00F33E99">
      <w:r w:rsidRPr="00F33E99">
        <w:t>Trend Analysis</w:t>
      </w:r>
    </w:p>
    <w:p w14:paraId="580B43D0" w14:textId="77777777" w:rsidR="00F33E99" w:rsidRPr="00F33E99" w:rsidRDefault="00F33E99" w:rsidP="00F33E99">
      <w:r w:rsidRPr="00F33E99">
        <w:t>When HS_GWA is grouped into ranges, a clear pattern appears:</w:t>
      </w:r>
    </w:p>
    <w:p w14:paraId="433568B1" w14:textId="77777777" w:rsidR="00F33E99" w:rsidRPr="00F33E99" w:rsidRDefault="00F33E99" w:rsidP="00F33E99">
      <w:r w:rsidRPr="00F33E99">
        <w:t>HS_GWA 75–79.8 corresponds to an average first-year GWA of 80.11</w:t>
      </w:r>
      <w:r w:rsidRPr="00F33E99">
        <w:br/>
        <w:t>79.8–84.6 corresponds to 84.78</w:t>
      </w:r>
      <w:r w:rsidRPr="00F33E99">
        <w:br/>
        <w:t>84.6–89.4 corresponds to 88.05</w:t>
      </w:r>
      <w:r w:rsidRPr="00F33E99">
        <w:br/>
        <w:t>89.4–94.2 corresponds to 91.29</w:t>
      </w:r>
      <w:r w:rsidRPr="00F33E99">
        <w:br/>
        <w:t>94.2–99 corresponds to 93.99</w:t>
      </w:r>
    </w:p>
    <w:p w14:paraId="72FE17E1" w14:textId="77777777" w:rsidR="00F33E99" w:rsidRPr="00F33E99" w:rsidRDefault="00F33E99" w:rsidP="00F33E99">
      <w:r w:rsidRPr="00F33E99">
        <w:t>There is a consistent upward trend where higher high school grades lead to higher university performance. Students who performed well in high school tend to continue performing well, while those who struggled tend to remain at lower performance levels.</w:t>
      </w:r>
    </w:p>
    <w:p w14:paraId="18E6FAD1" w14:textId="77777777" w:rsidR="00F33E99" w:rsidRPr="00F33E99" w:rsidRDefault="00F33E99" w:rsidP="00F33E99">
      <w:r w:rsidRPr="00F33E99">
        <w:t>Interpretation</w:t>
      </w:r>
    </w:p>
    <w:p w14:paraId="7030E2F0" w14:textId="77777777" w:rsidR="00F33E99" w:rsidRPr="00F33E99" w:rsidRDefault="00F33E99" w:rsidP="00F33E99">
      <w:r w:rsidRPr="00F33E99">
        <w:t>This shows that high school performance has strong predictive power. The relationship is smooth and consistent, which suggests the data is reliable and free from unusual patterns.</w:t>
      </w:r>
    </w:p>
    <w:p w14:paraId="1E7F082D" w14:textId="77777777" w:rsidR="00F33E99" w:rsidRPr="00F33E99" w:rsidRDefault="00F33E99" w:rsidP="00F33E99">
      <w:r w:rsidRPr="00F33E99">
        <w:t>However, the relationship is not perfect. Since the correlation is not equal to 1, high school performance does not fully explain university outcomes. Other factors such as course, strand, and school type may also influence results.</w:t>
      </w:r>
    </w:p>
    <w:p w14:paraId="0A696AE9" w14:textId="77777777" w:rsidR="00F33E99" w:rsidRPr="00F33E99" w:rsidRDefault="00F33E99" w:rsidP="00F33E99">
      <w:r w:rsidRPr="00F33E99">
        <w:t>Conclusion</w:t>
      </w:r>
    </w:p>
    <w:p w14:paraId="093727D7" w14:textId="77777777" w:rsidR="00F33E99" w:rsidRPr="00F33E99" w:rsidRDefault="00F33E99" w:rsidP="00F33E99">
      <w:r w:rsidRPr="00F33E99">
        <w:t>There is a clear and moderately strong positive relationship between HS_GWA and First_Year_GWA. High school performance is a strong predictor of university success.</w:t>
      </w:r>
    </w:p>
    <w:p w14:paraId="2400299D" w14:textId="77777777" w:rsidR="00F33E99" w:rsidRPr="00F33E99" w:rsidRDefault="00F33E99" w:rsidP="00F33E99">
      <w:r w:rsidRPr="00F33E99">
        <w:t>Bivariate Analysis: Admission_Score vs First_Year_GWA</w:t>
      </w:r>
    </w:p>
    <w:p w14:paraId="354942F4" w14:textId="77777777" w:rsidR="00F33E99" w:rsidRPr="00F33E99" w:rsidRDefault="00F33E99" w:rsidP="00F33E99">
      <w:r w:rsidRPr="00F33E99">
        <w:t>Correlation</w:t>
      </w:r>
    </w:p>
    <w:p w14:paraId="569A5917" w14:textId="77777777" w:rsidR="00F33E99" w:rsidRPr="00F33E99" w:rsidRDefault="00F33E99" w:rsidP="00F33E99">
      <w:r w:rsidRPr="00F33E99">
        <w:t>The correlation between Admission_Score and First_Year_GWA is 0.497. This indicates a moderate positive relationship, but it is weaker than the relationship observed with HS_GWA.</w:t>
      </w:r>
    </w:p>
    <w:p w14:paraId="7A58A802" w14:textId="77777777" w:rsidR="00F33E99" w:rsidRPr="00F33E99" w:rsidRDefault="00F33E99" w:rsidP="00F33E99">
      <w:r w:rsidRPr="00F33E99">
        <w:t>Trend Analysis</w:t>
      </w:r>
    </w:p>
    <w:p w14:paraId="36326111" w14:textId="77777777" w:rsidR="00F33E99" w:rsidRPr="00F33E99" w:rsidRDefault="00F33E99" w:rsidP="00F33E99">
      <w:r w:rsidRPr="00F33E99">
        <w:t>Admission Score 45–55 corresponds to an average first-year GWA of 74.75</w:t>
      </w:r>
      <w:r w:rsidRPr="00F33E99">
        <w:br/>
        <w:t>55–65 corresponds to 79.18</w:t>
      </w:r>
      <w:r w:rsidRPr="00F33E99">
        <w:br/>
        <w:t>65–75 corresponds to 82.83</w:t>
      </w:r>
      <w:r w:rsidRPr="00F33E99">
        <w:br/>
        <w:t>75–85 corresponds to 87.58</w:t>
      </w:r>
      <w:r w:rsidRPr="00F33E99">
        <w:br/>
        <w:t>85–95 corresponds to 91.31</w:t>
      </w:r>
    </w:p>
    <w:p w14:paraId="45C2AB42" w14:textId="77777777" w:rsidR="00F33E99" w:rsidRPr="00F33E99" w:rsidRDefault="00F33E99" w:rsidP="00F33E99">
      <w:r w:rsidRPr="00F33E99">
        <w:t>There is a clear upward trend, showing that higher admission scores are associated with better academic performance in the first year.</w:t>
      </w:r>
    </w:p>
    <w:p w14:paraId="5830D3E6" w14:textId="77777777" w:rsidR="00F33E99" w:rsidRPr="00F33E99" w:rsidRDefault="00F33E99" w:rsidP="00F33E99">
      <w:r w:rsidRPr="00F33E99">
        <w:t>Interpretation</w:t>
      </w:r>
    </w:p>
    <w:p w14:paraId="643DFEFC" w14:textId="77777777" w:rsidR="00F33E99" w:rsidRPr="00F33E99" w:rsidRDefault="00F33E99" w:rsidP="00F33E99">
      <w:r w:rsidRPr="00F33E99">
        <w:t>Admission scores do have predictive value, but they are not as strong as high school performance. While the admission system appears to select stronger students, it does not capture the full picture of a student’s ability.</w:t>
      </w:r>
    </w:p>
    <w:p w14:paraId="396C00FC" w14:textId="77777777" w:rsidR="00F33E99" w:rsidRPr="00F33E99" w:rsidRDefault="00F33E99" w:rsidP="00F33E99">
      <w:r w:rsidRPr="00F33E99">
        <w:t>This may be because admission scores reflect performance in a single test, while high school grades reflect long-term academic consistency.</w:t>
      </w:r>
    </w:p>
    <w:p w14:paraId="7F6E8B8D" w14:textId="77777777" w:rsidR="00F33E99" w:rsidRPr="00F33E99" w:rsidRDefault="00F33E99" w:rsidP="00F33E99">
      <w:r w:rsidRPr="00F33E99">
        <w:t>Conclusion</w:t>
      </w:r>
    </w:p>
    <w:p w14:paraId="4EEC8F6A" w14:textId="77777777" w:rsidR="00F33E99" w:rsidRPr="00F33E99" w:rsidRDefault="00F33E99" w:rsidP="00F33E99">
      <w:r w:rsidRPr="00F33E99">
        <w:t>Admission scores show a moderate positive relationship with first-year performance. However, HS_GWA is a stronger predictor, suggesting that long-term academic performance is more reliable than admission test results.</w:t>
      </w:r>
    </w:p>
    <w:p w14:paraId="6446C4A0" w14:textId="77777777" w:rsidR="00F33E99" w:rsidRPr="00F33E99" w:rsidRDefault="00F33E99" w:rsidP="00F33E99">
      <w:r w:rsidRPr="00F33E99">
        <w:t>Bivariate Analysis: Course vs First_Year_GWA</w:t>
      </w:r>
    </w:p>
    <w:p w14:paraId="09F21647" w14:textId="77777777" w:rsidR="00F33E99" w:rsidRPr="00F33E99" w:rsidRDefault="00F33E99" w:rsidP="00F33E99">
      <w:r w:rsidRPr="00F33E99">
        <w:t>Average First-Year Performance by Course</w:t>
      </w:r>
    </w:p>
    <w:p w14:paraId="274D67B4" w14:textId="77777777" w:rsidR="00F33E99" w:rsidRPr="00F33E99" w:rsidRDefault="00F33E99" w:rsidP="00F33E99">
      <w:r w:rsidRPr="00F33E99">
        <w:t>BSA: 89.94</w:t>
      </w:r>
      <w:r w:rsidRPr="00F33E99">
        <w:br/>
        <w:t>BSED: 88.17</w:t>
      </w:r>
      <w:r w:rsidRPr="00F33E99">
        <w:br/>
        <w:t>BEED: 87.98</w:t>
      </w:r>
      <w:r w:rsidRPr="00F33E99">
        <w:br/>
        <w:t>BSN: 86.23</w:t>
      </w:r>
      <w:r w:rsidRPr="00F33E99">
        <w:br/>
        <w:t>BSCrim: 82.92</w:t>
      </w:r>
    </w:p>
    <w:p w14:paraId="5F9029EC" w14:textId="77777777" w:rsidR="00F33E99" w:rsidRPr="00F33E99" w:rsidRDefault="00F33E99" w:rsidP="00F33E99">
      <w:r w:rsidRPr="00F33E99">
        <w:t>Interpretation</w:t>
      </w:r>
    </w:p>
    <w:p w14:paraId="38A53227" w14:textId="77777777" w:rsidR="00F33E99" w:rsidRPr="00F33E99" w:rsidRDefault="00F33E99" w:rsidP="00F33E99">
      <w:r w:rsidRPr="00F33E99">
        <w:t>BSA has the highest average performance, suggesting that students in this course tend to perform very well academically. This may indicate that stronger or more disciplined students are drawn to this field.</w:t>
      </w:r>
    </w:p>
    <w:p w14:paraId="3481DFD4" w14:textId="77777777" w:rsidR="00F33E99" w:rsidRPr="00F33E99" w:rsidRDefault="00F33E99" w:rsidP="00F33E99">
      <w:r w:rsidRPr="00F33E99">
        <w:t>BSED, BEED, and BSN form a middle group with similar performance levels, indicating relative consistency across these courses.</w:t>
      </w:r>
    </w:p>
    <w:p w14:paraId="7574A3CD" w14:textId="77777777" w:rsidR="00F33E99" w:rsidRPr="00F33E99" w:rsidRDefault="00F33E99" w:rsidP="00F33E99">
      <w:r w:rsidRPr="00F33E99">
        <w:t>BSCrim has the lowest average performance, which stands out compared to the other courses.</w:t>
      </w:r>
    </w:p>
    <w:p w14:paraId="16BCDCDF" w14:textId="77777777" w:rsidR="00F33E99" w:rsidRPr="00F33E99" w:rsidRDefault="00F33E99" w:rsidP="00F33E99">
      <w:r w:rsidRPr="00F33E99">
        <w:t>This shows that academic performance varies across courses, meaning that the field of study influences outcomes.</w:t>
      </w:r>
    </w:p>
    <w:p w14:paraId="667211FA" w14:textId="77777777" w:rsidR="00F33E99" w:rsidRPr="00F33E99" w:rsidRDefault="00F33E99" w:rsidP="00F33E99">
      <w:r w:rsidRPr="00F33E99">
        <w:t>However, group sizes should be considered. Courses with more students may show greater variation, while smaller groups may appear more stable.</w:t>
      </w:r>
    </w:p>
    <w:p w14:paraId="4128A226" w14:textId="77777777" w:rsidR="00F33E99" w:rsidRPr="00F33E99" w:rsidRDefault="00F33E99" w:rsidP="00F33E99">
      <w:r w:rsidRPr="00F33E99">
        <w:t>Possible explanations include differences in course difficulty, student selection, and how well students’ backgrounds align with their chosen fields.</w:t>
      </w:r>
    </w:p>
    <w:p w14:paraId="4EE16F16" w14:textId="77777777" w:rsidR="00F33E99" w:rsidRPr="00F33E99" w:rsidRDefault="00F33E99" w:rsidP="00F33E99">
      <w:r w:rsidRPr="00F33E99">
        <w:t>Conclusion</w:t>
      </w:r>
    </w:p>
    <w:p w14:paraId="396F6C52" w14:textId="77777777" w:rsidR="00F33E99" w:rsidRPr="00F33E99" w:rsidRDefault="00F33E99" w:rsidP="00F33E99">
      <w:r w:rsidRPr="00F33E99">
        <w:t>Academic performance differs across courses, with BSA showing the highest average performance and BSCrim the lowest. This indicates that course selection plays an important role in student outcomes.</w:t>
      </w:r>
    </w:p>
    <w:p w14:paraId="39833DDC" w14:textId="77777777" w:rsidR="00475550" w:rsidRDefault="00475550"/>
    <w:p w14:paraId="09F9EDFE" w14:textId="77777777" w:rsidR="00F33E99" w:rsidRPr="00F33E99" w:rsidRDefault="00F33E99" w:rsidP="00F33E99">
      <w:r w:rsidRPr="00F33E99">
        <w:t>Bivariate Analysis: Strand vs First_Year_GWA</w:t>
      </w:r>
    </w:p>
    <w:p w14:paraId="542BD5EE" w14:textId="77777777" w:rsidR="00F33E99" w:rsidRPr="00F33E99" w:rsidRDefault="00F33E99" w:rsidP="00F33E99">
      <w:r w:rsidRPr="00F33E99">
        <w:t>Average Performance by Strand</w:t>
      </w:r>
    </w:p>
    <w:p w14:paraId="30BAEF31" w14:textId="77777777" w:rsidR="00F33E99" w:rsidRPr="00F33E99" w:rsidRDefault="00F33E99" w:rsidP="00F33E99">
      <w:r w:rsidRPr="00F33E99">
        <w:t>STEM: 91.03</w:t>
      </w:r>
      <w:r w:rsidRPr="00F33E99">
        <w:br/>
        <w:t>HUMMS: 88.11</w:t>
      </w:r>
      <w:r w:rsidRPr="00F33E99">
        <w:br/>
        <w:t>ABM: 87.96</w:t>
      </w:r>
      <w:r w:rsidRPr="00F33E99">
        <w:br/>
        <w:t>Unknown: 87.12</w:t>
      </w:r>
      <w:r w:rsidRPr="00F33E99">
        <w:br/>
        <w:t>GAS: 83.98</w:t>
      </w:r>
      <w:r w:rsidRPr="00F33E99">
        <w:br/>
        <w:t>TVL: 80.67</w:t>
      </w:r>
    </w:p>
    <w:p w14:paraId="0E76FB94" w14:textId="77777777" w:rsidR="00F33E99" w:rsidRPr="00F33E99" w:rsidRDefault="00F33E99" w:rsidP="00F33E99">
      <w:r w:rsidRPr="00F33E99">
        <w:t>Interpretation</w:t>
      </w:r>
    </w:p>
    <w:p w14:paraId="059E08E7" w14:textId="77777777" w:rsidR="00F33E99" w:rsidRPr="00F33E99" w:rsidRDefault="00F33E99" w:rsidP="00F33E99">
      <w:r w:rsidRPr="00F33E99">
        <w:t>STEM students have the highest average performance, with a clear lead over all other strands. This suggests that they are better prepared for university-level academic work, likely due to a stronger theoretical foundation.</w:t>
      </w:r>
    </w:p>
    <w:p w14:paraId="1AC838DF" w14:textId="77777777" w:rsidR="00F33E99" w:rsidRPr="00F33E99" w:rsidRDefault="00F33E99" w:rsidP="00F33E99">
      <w:r w:rsidRPr="00F33E99">
        <w:t>HUMMS, ABM, and Unknown fall into a middle group with similar averages. Their performance is relatively stable, with no large differences between them.</w:t>
      </w:r>
    </w:p>
    <w:p w14:paraId="0E3A8A46" w14:textId="77777777" w:rsidR="00F33E99" w:rsidRPr="00F33E99" w:rsidRDefault="00F33E99" w:rsidP="00F33E99">
      <w:r w:rsidRPr="00F33E99">
        <w:t>GAS and TVL have lower averages, with TVL being the lowest. This indicates that students from these strands may face more challenges in adapting to university academics.</w:t>
      </w:r>
    </w:p>
    <w:p w14:paraId="76D748F0" w14:textId="77777777" w:rsidR="00F33E99" w:rsidRPr="00F33E99" w:rsidRDefault="00F33E99" w:rsidP="00F33E99">
      <w:r w:rsidRPr="00F33E99">
        <w:t>There is a clear ranking across strands, showing that academic background plays an important role in performance. Students from STEM backgrounds perform the best, while those from TVL tend to perform the weakest.</w:t>
      </w:r>
    </w:p>
    <w:p w14:paraId="3C161127" w14:textId="77777777" w:rsidR="00F33E99" w:rsidRPr="00F33E99" w:rsidRDefault="00F33E99" w:rsidP="00F33E99">
      <w:r w:rsidRPr="00F33E99">
        <w:t>This suggests that alignment between high school preparation and university expectations matters. More academically focused strands, such as STEM, appear to prepare students better, while more practical strands, such as TVL, may not align as closely with university demands.</w:t>
      </w:r>
    </w:p>
    <w:p w14:paraId="359CE9A6" w14:textId="461125B8" w:rsidR="00F33E99" w:rsidRPr="00F33E99" w:rsidRDefault="00F33E99" w:rsidP="00F33E99">
      <w:r w:rsidRPr="00F33E99">
        <w:t>The Unknown category should be treated with caution, as it represents missing or unclear data and may not provide fully reliable insights.</w:t>
      </w:r>
    </w:p>
    <w:p w14:paraId="5FBC4F08" w14:textId="77777777" w:rsidR="00F33E99" w:rsidRPr="00F33E99" w:rsidRDefault="00F33E99" w:rsidP="00F33E99">
      <w:r w:rsidRPr="00F33E99">
        <w:t>Conclusion for Strand vs First_Year_GWA</w:t>
      </w:r>
    </w:p>
    <w:p w14:paraId="5630DBEB" w14:textId="77777777" w:rsidR="00F33E99" w:rsidRPr="00F33E99" w:rsidRDefault="00F33E99" w:rsidP="00F33E99">
      <w:r w:rsidRPr="00F33E99">
        <w:t>Students from STEM backgrounds achieve the highest academic performance in their first year, while TVL students perform the lowest. This indicates that prior academic preparation and alignment with university expectations significantly influence student success.</w:t>
      </w:r>
    </w:p>
    <w:p w14:paraId="2B71A36F" w14:textId="77777777" w:rsidR="00F33E99" w:rsidRPr="00F33E99" w:rsidRDefault="00F33E99" w:rsidP="00F33E99">
      <w:r w:rsidRPr="00F33E99">
        <w:t>Bivariate Analysis: School_Type vs First_Year_GWA</w:t>
      </w:r>
    </w:p>
    <w:p w14:paraId="4197A3BA" w14:textId="77777777" w:rsidR="00F33E99" w:rsidRPr="00F33E99" w:rsidRDefault="00F33E99" w:rsidP="00F33E99">
      <w:r w:rsidRPr="00F33E99">
        <w:t>Average Performance by School Type</w:t>
      </w:r>
    </w:p>
    <w:p w14:paraId="7170FE91" w14:textId="77777777" w:rsidR="00F33E99" w:rsidRPr="00F33E99" w:rsidRDefault="00F33E99" w:rsidP="00F33E99">
      <w:r w:rsidRPr="00F33E99">
        <w:t>Private: 87.25</w:t>
      </w:r>
      <w:r w:rsidRPr="00F33E99">
        <w:br/>
        <w:t>Public: 86.46</w:t>
      </w:r>
    </w:p>
    <w:p w14:paraId="16E30560" w14:textId="77777777" w:rsidR="00F33E99" w:rsidRPr="00F33E99" w:rsidRDefault="00F33E99" w:rsidP="00F33E99">
      <w:r w:rsidRPr="00F33E99">
        <w:t>Interpretation</w:t>
      </w:r>
    </w:p>
    <w:p w14:paraId="1E5201BA" w14:textId="77777777" w:rsidR="00F33E99" w:rsidRPr="00F33E99" w:rsidRDefault="00F33E99" w:rsidP="00F33E99">
      <w:r w:rsidRPr="00F33E99">
        <w:t>Private school students perform slightly better on average than public school students. However, the difference is very small, at less than one point.</w:t>
      </w:r>
    </w:p>
    <w:p w14:paraId="4B190BD8" w14:textId="77777777" w:rsidR="00F33E99" w:rsidRPr="00F33E99" w:rsidRDefault="00F33E99" w:rsidP="00F33E99">
      <w:r w:rsidRPr="00F33E99">
        <w:t>This indicates that performance between the two groups is largely similar. Despite the dataset being dominated by public school students, their academic outcomes are nearly equal to those of private school students.</w:t>
      </w:r>
    </w:p>
    <w:p w14:paraId="1AE83E0E" w14:textId="77777777" w:rsidR="00F33E99" w:rsidRPr="00F33E99" w:rsidRDefault="00F33E99" w:rsidP="00F33E99">
      <w:r w:rsidRPr="00F33E99">
        <w:t>This suggests that school type does not strongly determine academic success. Students from public schools are able to perform at a level comparable to those from private schools.</w:t>
      </w:r>
    </w:p>
    <w:p w14:paraId="5AA157BB" w14:textId="77777777" w:rsidR="00F33E99" w:rsidRPr="00F33E99" w:rsidRDefault="00F33E99" w:rsidP="00F33E99">
      <w:r w:rsidRPr="00F33E99">
        <w:t>Although private school students have a slight advantage, the effect is weak and may reflect minor differences in preparation or access to resources rather than a major performance gap.</w:t>
      </w:r>
    </w:p>
    <w:p w14:paraId="7AAF870F" w14:textId="77777777" w:rsidR="00F33E99" w:rsidRPr="00F33E99" w:rsidRDefault="00F33E99" w:rsidP="00F33E99">
      <w:r w:rsidRPr="00F33E99">
        <w:t>When compared to other variables such as HS_GWA, course, and strand, school type has a much smaller influence on performance.</w:t>
      </w:r>
    </w:p>
    <w:p w14:paraId="3ADD3A65" w14:textId="77777777" w:rsidR="00F33E99" w:rsidRPr="00F33E99" w:rsidRDefault="00F33E99" w:rsidP="00F33E99">
      <w:r w:rsidRPr="00F33E99">
        <w:t>Conclusion for School_Type vs First_Year_GWA</w:t>
      </w:r>
    </w:p>
    <w:p w14:paraId="5415F68D" w14:textId="77777777" w:rsidR="00F33E99" w:rsidRPr="00F33E99" w:rsidRDefault="00F33E99" w:rsidP="00F33E99">
      <w:r w:rsidRPr="00F33E99">
        <w:t>There is only a small difference in academic performance between private and public school students, indicating that school type has a minimal impact on first-year university success compared to other factors.</w:t>
      </w:r>
    </w:p>
    <w:p w14:paraId="70A9835E" w14:textId="77777777" w:rsidR="00F33E99" w:rsidRPr="00F33E99" w:rsidRDefault="00F33E99" w:rsidP="00F33E99">
      <w:pPr>
        <w:rPr>
          <w:vanish/>
        </w:rPr>
      </w:pPr>
      <w:r w:rsidRPr="00F33E99">
        <w:rPr>
          <w:vanish/>
        </w:rPr>
        <w:t>Top of Form</w:t>
      </w:r>
    </w:p>
    <w:p w14:paraId="3221ADA7" w14:textId="77777777" w:rsidR="00F33E99" w:rsidRPr="00F33E99" w:rsidRDefault="00F33E99" w:rsidP="00F33E99">
      <w:pPr>
        <w:rPr>
          <w:vanish/>
        </w:rPr>
      </w:pPr>
      <w:r w:rsidRPr="00F33E99">
        <w:rPr>
          <w:vanish/>
        </w:rPr>
        <w:t>Bottom of Form</w:t>
      </w:r>
    </w:p>
    <w:p w14:paraId="4C39AA95" w14:textId="77777777" w:rsidR="00F33E99" w:rsidRDefault="00F33E99"/>
    <w:sectPr w:rsidR="00F33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99"/>
    <w:rsid w:val="00475550"/>
    <w:rsid w:val="0052227F"/>
    <w:rsid w:val="00710688"/>
    <w:rsid w:val="008232A6"/>
    <w:rsid w:val="00EA3245"/>
    <w:rsid w:val="00F33E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2C2C"/>
  <w15:chartTrackingRefBased/>
  <w15:docId w15:val="{B46CB619-4C30-480F-998A-C8DE8980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E99"/>
    <w:rPr>
      <w:rFonts w:eastAsiaTheme="majorEastAsia" w:cstheme="majorBidi"/>
      <w:color w:val="272727" w:themeColor="text1" w:themeTint="D8"/>
    </w:rPr>
  </w:style>
  <w:style w:type="paragraph" w:styleId="Title">
    <w:name w:val="Title"/>
    <w:basedOn w:val="Normal"/>
    <w:next w:val="Normal"/>
    <w:link w:val="TitleChar"/>
    <w:uiPriority w:val="10"/>
    <w:qFormat/>
    <w:rsid w:val="00F33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E99"/>
    <w:pPr>
      <w:spacing w:before="160"/>
      <w:jc w:val="center"/>
    </w:pPr>
    <w:rPr>
      <w:i/>
      <w:iCs/>
      <w:color w:val="404040" w:themeColor="text1" w:themeTint="BF"/>
    </w:rPr>
  </w:style>
  <w:style w:type="character" w:customStyle="1" w:styleId="QuoteChar">
    <w:name w:val="Quote Char"/>
    <w:basedOn w:val="DefaultParagraphFont"/>
    <w:link w:val="Quote"/>
    <w:uiPriority w:val="29"/>
    <w:rsid w:val="00F33E99"/>
    <w:rPr>
      <w:i/>
      <w:iCs/>
      <w:color w:val="404040" w:themeColor="text1" w:themeTint="BF"/>
    </w:rPr>
  </w:style>
  <w:style w:type="paragraph" w:styleId="ListParagraph">
    <w:name w:val="List Paragraph"/>
    <w:basedOn w:val="Normal"/>
    <w:uiPriority w:val="34"/>
    <w:qFormat/>
    <w:rsid w:val="00F33E99"/>
    <w:pPr>
      <w:ind w:left="720"/>
      <w:contextualSpacing/>
    </w:pPr>
  </w:style>
  <w:style w:type="character" w:styleId="IntenseEmphasis">
    <w:name w:val="Intense Emphasis"/>
    <w:basedOn w:val="DefaultParagraphFont"/>
    <w:uiPriority w:val="21"/>
    <w:qFormat/>
    <w:rsid w:val="00F33E99"/>
    <w:rPr>
      <w:i/>
      <w:iCs/>
      <w:color w:val="2F5496" w:themeColor="accent1" w:themeShade="BF"/>
    </w:rPr>
  </w:style>
  <w:style w:type="paragraph" w:styleId="IntenseQuote">
    <w:name w:val="Intense Quote"/>
    <w:basedOn w:val="Normal"/>
    <w:next w:val="Normal"/>
    <w:link w:val="IntenseQuoteChar"/>
    <w:uiPriority w:val="30"/>
    <w:qFormat/>
    <w:rsid w:val="00F33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E99"/>
    <w:rPr>
      <w:i/>
      <w:iCs/>
      <w:color w:val="2F5496" w:themeColor="accent1" w:themeShade="BF"/>
    </w:rPr>
  </w:style>
  <w:style w:type="character" w:styleId="IntenseReference">
    <w:name w:val="Intense Reference"/>
    <w:basedOn w:val="DefaultParagraphFont"/>
    <w:uiPriority w:val="32"/>
    <w:qFormat/>
    <w:rsid w:val="00F33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Jack Mmako</dc:creator>
  <cp:keywords/>
  <dc:description/>
  <cp:lastModifiedBy>Katlego Jack Mmako</cp:lastModifiedBy>
  <cp:revision>1</cp:revision>
  <dcterms:created xsi:type="dcterms:W3CDTF">2026-03-26T12:31:00Z</dcterms:created>
  <dcterms:modified xsi:type="dcterms:W3CDTF">2026-03-26T22:33:00Z</dcterms:modified>
</cp:coreProperties>
</file>