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3CA6BA" w14:textId="0A9379F1" w:rsidR="000F7867" w:rsidRPr="00995D9D" w:rsidRDefault="00C53F06">
      <w:pPr>
        <w:rPr>
          <w:sz w:val="26"/>
          <w:szCs w:val="26"/>
        </w:rPr>
      </w:pPr>
      <w:r w:rsidRPr="00995D9D">
        <w:rPr>
          <w:sz w:val="26"/>
          <w:szCs w:val="26"/>
        </w:rPr>
        <w:t>ST10301242</w:t>
      </w:r>
    </w:p>
    <w:p w14:paraId="6103BD00" w14:textId="77777777" w:rsidR="00995D9D" w:rsidRDefault="00C53F06">
      <w:pPr>
        <w:rPr>
          <w:sz w:val="26"/>
          <w:szCs w:val="26"/>
        </w:rPr>
      </w:pPr>
      <w:r w:rsidRPr="00995D9D">
        <w:rPr>
          <w:sz w:val="26"/>
          <w:szCs w:val="26"/>
        </w:rPr>
        <w:t xml:space="preserve">BUSA7322 </w:t>
      </w:r>
    </w:p>
    <w:p w14:paraId="1B199A2F" w14:textId="4F896C7C" w:rsidR="00C53F06" w:rsidRPr="00995D9D" w:rsidRDefault="00995D9D">
      <w:pPr>
        <w:rPr>
          <w:sz w:val="26"/>
          <w:szCs w:val="26"/>
        </w:rPr>
      </w:pPr>
      <w:r>
        <w:rPr>
          <w:sz w:val="26"/>
          <w:szCs w:val="26"/>
        </w:rPr>
        <w:t>Part 3 Final_</w:t>
      </w:r>
      <w:r w:rsidR="00C53F06" w:rsidRPr="00995D9D">
        <w:rPr>
          <w:sz w:val="26"/>
          <w:szCs w:val="26"/>
        </w:rPr>
        <w:t>POE</w:t>
      </w:r>
    </w:p>
    <w:p w14:paraId="008E5D81" w14:textId="192275AC" w:rsidR="00C53F06" w:rsidRPr="00995D9D" w:rsidRDefault="00C53F06">
      <w:pPr>
        <w:rPr>
          <w:sz w:val="26"/>
          <w:szCs w:val="26"/>
        </w:rPr>
      </w:pPr>
      <w:r w:rsidRPr="00995D9D">
        <w:rPr>
          <w:sz w:val="26"/>
          <w:szCs w:val="26"/>
        </w:rPr>
        <w:t>Group 01</w:t>
      </w:r>
    </w:p>
    <w:p w14:paraId="5A08FE55" w14:textId="79DC4859" w:rsidR="00995D9D" w:rsidRPr="00995D9D" w:rsidRDefault="00995D9D">
      <w:pPr>
        <w:rPr>
          <w:sz w:val="26"/>
          <w:szCs w:val="26"/>
        </w:rPr>
      </w:pPr>
      <w:r w:rsidRPr="00995D9D">
        <w:rPr>
          <w:sz w:val="26"/>
          <w:szCs w:val="26"/>
        </w:rPr>
        <w:t>Katleho Nthunya</w:t>
      </w:r>
    </w:p>
    <w:p w14:paraId="1443BB48" w14:textId="5708784E" w:rsidR="00456266" w:rsidRDefault="00456266" w:rsidP="00456266">
      <w:pPr>
        <w:pStyle w:val="Quote"/>
        <w:rPr>
          <w:b/>
          <w:bCs/>
          <w:sz w:val="28"/>
          <w:szCs w:val="28"/>
        </w:rPr>
      </w:pPr>
      <w:r w:rsidRPr="00456266">
        <w:rPr>
          <w:b/>
          <w:bCs/>
          <w:sz w:val="28"/>
          <w:szCs w:val="28"/>
        </w:rPr>
        <w:t>Question 1</w:t>
      </w:r>
    </w:p>
    <w:p w14:paraId="4069FE34" w14:textId="7655FFCE" w:rsidR="00456266" w:rsidRPr="0037349F" w:rsidRDefault="00456266" w:rsidP="00691744">
      <w:pPr>
        <w:pStyle w:val="ListParagraph"/>
        <w:numPr>
          <w:ilvl w:val="1"/>
          <w:numId w:val="2"/>
        </w:numPr>
        <w:rPr>
          <w:b/>
          <w:bCs/>
          <w:sz w:val="26"/>
          <w:szCs w:val="26"/>
        </w:rPr>
      </w:pPr>
      <w:r w:rsidRPr="0037349F">
        <w:rPr>
          <w:b/>
          <w:bCs/>
          <w:sz w:val="26"/>
          <w:szCs w:val="26"/>
        </w:rPr>
        <w:t>T</w:t>
      </w:r>
      <w:r w:rsidR="00691744" w:rsidRPr="0037349F">
        <w:rPr>
          <w:b/>
          <w:bCs/>
          <w:sz w:val="26"/>
          <w:szCs w:val="26"/>
        </w:rPr>
        <w:t>he 6 BPMN best practices in Big Finance companies</w:t>
      </w:r>
    </w:p>
    <w:p w14:paraId="70014C60" w14:textId="77777777" w:rsidR="0037349F" w:rsidRPr="0037349F" w:rsidRDefault="0037349F" w:rsidP="0037349F">
      <w:pPr>
        <w:pStyle w:val="ListParagraph"/>
        <w:ind w:left="360"/>
        <w:rPr>
          <w:b/>
          <w:bCs/>
          <w:sz w:val="25"/>
          <w:szCs w:val="25"/>
        </w:rPr>
      </w:pPr>
      <w:r w:rsidRPr="0037349F">
        <w:rPr>
          <w:b/>
          <w:bCs/>
          <w:sz w:val="25"/>
          <w:szCs w:val="25"/>
        </w:rPr>
        <w:t>Clearly define process governance and standards.</w:t>
      </w:r>
    </w:p>
    <w:p w14:paraId="7CDBE8AC" w14:textId="0629B81A" w:rsidR="0037349F" w:rsidRPr="0037349F" w:rsidRDefault="0037349F" w:rsidP="0037349F">
      <w:pPr>
        <w:pStyle w:val="ListParagraph"/>
        <w:ind w:left="360"/>
        <w:rPr>
          <w:sz w:val="25"/>
          <w:szCs w:val="25"/>
        </w:rPr>
      </w:pPr>
      <w:r w:rsidRPr="0037349F">
        <w:rPr>
          <w:sz w:val="25"/>
          <w:szCs w:val="25"/>
        </w:rPr>
        <w:t xml:space="preserve">Establish a formal governance structure that includes review boards, naming conventions, process owners, modeling standards, and version control. Governance guards against fragmented or incompatible models and guarantees uniformity across various corporate domains and legal systems. Model ambiguity is decreased and reuse is enhanced via formal governance </w:t>
      </w:r>
      <w:r>
        <w:rPr>
          <w:sz w:val="25"/>
          <w:szCs w:val="25"/>
        </w:rPr>
        <w:t xml:space="preserve">as </w:t>
      </w:r>
      <w:r w:rsidRPr="0037349F">
        <w:rPr>
          <w:sz w:val="25"/>
          <w:szCs w:val="25"/>
        </w:rPr>
        <w:t>stated by Mariya and associates</w:t>
      </w:r>
      <w:r>
        <w:rPr>
          <w:sz w:val="25"/>
          <w:szCs w:val="25"/>
        </w:rPr>
        <w:t>,</w:t>
      </w:r>
      <w:r w:rsidRPr="0037349F">
        <w:rPr>
          <w:sz w:val="25"/>
          <w:szCs w:val="25"/>
        </w:rPr>
        <w:t xml:space="preserve"> (2024)</w:t>
      </w:r>
    </w:p>
    <w:p w14:paraId="1B79FA9C" w14:textId="77777777" w:rsidR="0037349F" w:rsidRPr="0037349F" w:rsidRDefault="0037349F" w:rsidP="0037349F">
      <w:pPr>
        <w:pStyle w:val="ListParagraph"/>
        <w:ind w:left="360"/>
        <w:rPr>
          <w:sz w:val="25"/>
          <w:szCs w:val="25"/>
        </w:rPr>
      </w:pPr>
    </w:p>
    <w:p w14:paraId="318FEA58" w14:textId="77777777" w:rsidR="0037349F" w:rsidRPr="0037349F" w:rsidRDefault="0037349F" w:rsidP="0037349F">
      <w:pPr>
        <w:pStyle w:val="ListParagraph"/>
        <w:ind w:left="360"/>
        <w:rPr>
          <w:b/>
          <w:bCs/>
          <w:sz w:val="25"/>
          <w:szCs w:val="25"/>
        </w:rPr>
      </w:pPr>
      <w:r w:rsidRPr="0037349F">
        <w:rPr>
          <w:b/>
          <w:bCs/>
          <w:sz w:val="25"/>
          <w:szCs w:val="25"/>
        </w:rPr>
        <w:t>Early and ongoing stakeholder engagement</w:t>
      </w:r>
    </w:p>
    <w:p w14:paraId="5C436677" w14:textId="19B91D2A" w:rsidR="00691744" w:rsidRDefault="0037349F" w:rsidP="0037349F">
      <w:pPr>
        <w:pStyle w:val="ListParagraph"/>
        <w:ind w:left="360"/>
        <w:rPr>
          <w:sz w:val="25"/>
          <w:szCs w:val="25"/>
        </w:rPr>
      </w:pPr>
      <w:r w:rsidRPr="0037349F">
        <w:rPr>
          <w:sz w:val="25"/>
          <w:szCs w:val="25"/>
        </w:rPr>
        <w:t xml:space="preserve">Involve IT integrators, compliance, operations, and business unit leaders (insurance, retail banking, and investments) right away. Constant stakeholder participation secures support for a later roll-out and produces models that accurately reflect operational reality. Research indicates that when there are organizational advocates and stakeholder alignment, adoption is successful by Seymour &amp; Koopman, </w:t>
      </w:r>
      <w:r>
        <w:rPr>
          <w:sz w:val="25"/>
          <w:szCs w:val="25"/>
        </w:rPr>
        <w:t>(</w:t>
      </w:r>
      <w:r w:rsidRPr="0037349F">
        <w:rPr>
          <w:sz w:val="25"/>
          <w:szCs w:val="25"/>
        </w:rPr>
        <w:t>2020</w:t>
      </w:r>
      <w:r>
        <w:rPr>
          <w:sz w:val="25"/>
          <w:szCs w:val="25"/>
        </w:rPr>
        <w:t>)</w:t>
      </w:r>
      <w:r w:rsidRPr="0037349F">
        <w:rPr>
          <w:sz w:val="25"/>
          <w:szCs w:val="25"/>
        </w:rPr>
        <w:t>.</w:t>
      </w:r>
    </w:p>
    <w:p w14:paraId="54E5C96F" w14:textId="09886B88" w:rsidR="0037349F" w:rsidRDefault="0037349F" w:rsidP="0037349F">
      <w:pPr>
        <w:pStyle w:val="ListParagraph"/>
        <w:ind w:left="360"/>
        <w:rPr>
          <w:sz w:val="25"/>
          <w:szCs w:val="25"/>
        </w:rPr>
      </w:pPr>
    </w:p>
    <w:p w14:paraId="353767C0" w14:textId="77777777" w:rsidR="001B0278" w:rsidRPr="001B0278" w:rsidRDefault="001B0278" w:rsidP="001B0278">
      <w:pPr>
        <w:pStyle w:val="ListParagraph"/>
        <w:ind w:left="360"/>
        <w:rPr>
          <w:b/>
          <w:bCs/>
          <w:sz w:val="25"/>
          <w:szCs w:val="25"/>
        </w:rPr>
      </w:pPr>
      <w:r w:rsidRPr="001B0278">
        <w:rPr>
          <w:b/>
          <w:bCs/>
          <w:sz w:val="25"/>
          <w:szCs w:val="25"/>
        </w:rPr>
        <w:t>Choose the right tools and make sure they integrate with the BPMS/ERP.</w:t>
      </w:r>
    </w:p>
    <w:p w14:paraId="29940319" w14:textId="77777777" w:rsidR="001B0278" w:rsidRPr="001B0278" w:rsidRDefault="001B0278" w:rsidP="001B0278">
      <w:pPr>
        <w:pStyle w:val="ListParagraph"/>
        <w:ind w:left="360"/>
        <w:rPr>
          <w:sz w:val="25"/>
          <w:szCs w:val="25"/>
        </w:rPr>
      </w:pPr>
      <w:r w:rsidRPr="001B0278">
        <w:rPr>
          <w:sz w:val="25"/>
          <w:szCs w:val="25"/>
        </w:rPr>
        <w:t>Select BPMN-capable tools that facilitate model testing, simulation, and execution while integrating with current BPMS, ECM, and core banking systems. Version control, repositories, and automatic deployment should all be features of the tool you choose. Executable processes are supported and unconnected artifacts are avoided through integration.  Koops and associates (2016).</w:t>
      </w:r>
    </w:p>
    <w:p w14:paraId="2E47A176" w14:textId="77777777" w:rsidR="001B0278" w:rsidRPr="001B0278" w:rsidRDefault="001B0278" w:rsidP="001B0278">
      <w:pPr>
        <w:pStyle w:val="ListParagraph"/>
        <w:ind w:left="360"/>
        <w:rPr>
          <w:sz w:val="25"/>
          <w:szCs w:val="25"/>
        </w:rPr>
      </w:pPr>
    </w:p>
    <w:p w14:paraId="0D09FB5F" w14:textId="77777777" w:rsidR="001B0278" w:rsidRPr="001B0278" w:rsidRDefault="001B0278" w:rsidP="001B0278">
      <w:pPr>
        <w:pStyle w:val="ListParagraph"/>
        <w:ind w:left="360"/>
        <w:rPr>
          <w:b/>
          <w:bCs/>
          <w:sz w:val="25"/>
          <w:szCs w:val="25"/>
        </w:rPr>
      </w:pPr>
      <w:r w:rsidRPr="001B0278">
        <w:rPr>
          <w:b/>
          <w:bCs/>
          <w:sz w:val="25"/>
          <w:szCs w:val="25"/>
        </w:rPr>
        <w:t>Adopt stringent procedures for model testing, validation, and verification.</w:t>
      </w:r>
    </w:p>
    <w:p w14:paraId="5191E8B8" w14:textId="7C456666" w:rsidR="0037349F" w:rsidRDefault="001B0278" w:rsidP="001B0278">
      <w:pPr>
        <w:pStyle w:val="ListParagraph"/>
        <w:ind w:left="360"/>
        <w:rPr>
          <w:sz w:val="25"/>
          <w:szCs w:val="25"/>
        </w:rPr>
      </w:pPr>
      <w:r w:rsidRPr="001B0278">
        <w:rPr>
          <w:sz w:val="25"/>
          <w:szCs w:val="25"/>
        </w:rPr>
        <w:t>To find logical mistakes, deadlocks, and inconsistent transactions early on, use formal verification, conformance checking, and simulation. BPMN model testing (syntactic + semantic) lowers implementation flaws and guarantees that processes adhere to business rules and compliance requirements, claim Lopes &amp; Guerreiro (2023).</w:t>
      </w:r>
    </w:p>
    <w:p w14:paraId="0D7660ED" w14:textId="77777777" w:rsidR="001B0278" w:rsidRDefault="001B0278" w:rsidP="001B0278">
      <w:pPr>
        <w:pStyle w:val="ListParagraph"/>
        <w:ind w:left="360"/>
        <w:rPr>
          <w:sz w:val="25"/>
          <w:szCs w:val="25"/>
        </w:rPr>
      </w:pPr>
    </w:p>
    <w:p w14:paraId="38F45F78" w14:textId="77777777" w:rsidR="001B0278" w:rsidRPr="001B0278" w:rsidRDefault="001B0278" w:rsidP="001B0278">
      <w:pPr>
        <w:pStyle w:val="ListParagraph"/>
        <w:ind w:left="360"/>
        <w:rPr>
          <w:b/>
          <w:bCs/>
          <w:sz w:val="25"/>
          <w:szCs w:val="25"/>
        </w:rPr>
      </w:pPr>
      <w:r w:rsidRPr="001B0278">
        <w:rPr>
          <w:b/>
          <w:bCs/>
          <w:sz w:val="25"/>
          <w:szCs w:val="25"/>
        </w:rPr>
        <w:t>Make training, competency building, and change management investments.</w:t>
      </w:r>
    </w:p>
    <w:p w14:paraId="11FF47CD" w14:textId="77777777" w:rsidR="001B0278" w:rsidRPr="001B0278" w:rsidRDefault="001B0278" w:rsidP="001B0278">
      <w:pPr>
        <w:pStyle w:val="ListParagraph"/>
        <w:ind w:left="360"/>
        <w:rPr>
          <w:sz w:val="25"/>
          <w:szCs w:val="25"/>
        </w:rPr>
      </w:pPr>
      <w:r w:rsidRPr="001B0278">
        <w:rPr>
          <w:sz w:val="25"/>
          <w:szCs w:val="25"/>
        </w:rPr>
        <w:t xml:space="preserve">Provide training on BPMN notation, repository usage, and the organization's modeling norms to modelers (analysts), process owners, and operational users. To develop maturity, incorporate coaching, communities of practice, training, and a </w:t>
      </w:r>
      <w:r w:rsidRPr="001B0278">
        <w:rPr>
          <w:sz w:val="25"/>
          <w:szCs w:val="25"/>
        </w:rPr>
        <w:lastRenderedPageBreak/>
        <w:t>phased learning program. Research on adoption indicates that success requires both cultural preparedness and technical proficiency. By 2024, Mariya et al.</w:t>
      </w:r>
    </w:p>
    <w:p w14:paraId="097248B6" w14:textId="77777777" w:rsidR="001B0278" w:rsidRPr="001B0278" w:rsidRDefault="001B0278" w:rsidP="001B0278">
      <w:pPr>
        <w:pStyle w:val="ListParagraph"/>
        <w:ind w:left="360"/>
        <w:rPr>
          <w:b/>
          <w:bCs/>
          <w:sz w:val="25"/>
          <w:szCs w:val="25"/>
        </w:rPr>
      </w:pPr>
    </w:p>
    <w:p w14:paraId="005C1B4E" w14:textId="77777777" w:rsidR="001B0278" w:rsidRPr="001B0278" w:rsidRDefault="001B0278" w:rsidP="001B0278">
      <w:pPr>
        <w:pStyle w:val="ListParagraph"/>
        <w:ind w:left="360"/>
        <w:rPr>
          <w:b/>
          <w:bCs/>
          <w:sz w:val="25"/>
          <w:szCs w:val="25"/>
        </w:rPr>
      </w:pPr>
      <w:r w:rsidRPr="001B0278">
        <w:rPr>
          <w:b/>
          <w:bCs/>
          <w:sz w:val="25"/>
          <w:szCs w:val="25"/>
        </w:rPr>
        <w:t>Integrate lifecycle compliance checks, auditability, and compliance</w:t>
      </w:r>
    </w:p>
    <w:p w14:paraId="54E08427" w14:textId="11711FF8" w:rsidR="001B0278" w:rsidRDefault="001B0278" w:rsidP="001B0278">
      <w:pPr>
        <w:pStyle w:val="ListParagraph"/>
        <w:ind w:left="360"/>
        <w:rPr>
          <w:sz w:val="25"/>
          <w:szCs w:val="25"/>
        </w:rPr>
      </w:pPr>
      <w:r w:rsidRPr="001B0278">
        <w:rPr>
          <w:sz w:val="25"/>
          <w:szCs w:val="25"/>
        </w:rPr>
        <w:t>Financial firms should employ compliance-checking frameworks throughout the lifecycle and incorporate regulatory checkpoints (KYC, AML, and reporting) into BPMN models. To ensure that process execution is auditable and defendable, keep track of traceable audit logs, testable compliance rules, and automated alarms (Koops et al., 2016).</w:t>
      </w:r>
    </w:p>
    <w:p w14:paraId="3BE42597" w14:textId="3A82EA0C" w:rsidR="001B0278" w:rsidRDefault="001B0278" w:rsidP="001B0278">
      <w:pPr>
        <w:pStyle w:val="ListParagraph"/>
        <w:ind w:left="360"/>
        <w:rPr>
          <w:sz w:val="25"/>
          <w:szCs w:val="25"/>
        </w:rPr>
      </w:pPr>
    </w:p>
    <w:p w14:paraId="4B59A02E" w14:textId="473251DD" w:rsidR="001B0278" w:rsidRDefault="001B0278" w:rsidP="001B0278">
      <w:pPr>
        <w:pStyle w:val="ListParagraph"/>
        <w:numPr>
          <w:ilvl w:val="1"/>
          <w:numId w:val="2"/>
        </w:numPr>
        <w:rPr>
          <w:b/>
          <w:bCs/>
          <w:sz w:val="26"/>
          <w:szCs w:val="26"/>
        </w:rPr>
      </w:pPr>
      <w:r w:rsidRPr="001B0278">
        <w:rPr>
          <w:b/>
          <w:bCs/>
          <w:sz w:val="26"/>
          <w:szCs w:val="26"/>
        </w:rPr>
        <w:t>Practical examples of how to apply these best practices at GFS</w:t>
      </w:r>
    </w:p>
    <w:p w14:paraId="45390018" w14:textId="0C939E85" w:rsidR="000A4982" w:rsidRDefault="000A4982" w:rsidP="000A4982">
      <w:pPr>
        <w:pStyle w:val="ListParagraph"/>
        <w:spacing w:after="240" w:line="240" w:lineRule="auto"/>
        <w:ind w:left="360"/>
        <w:rPr>
          <w:rFonts w:eastAsia="Times New Roman" w:cstheme="minorHAnsi"/>
          <w:sz w:val="25"/>
          <w:szCs w:val="25"/>
          <w:lang w:eastAsia="en-ZA"/>
        </w:rPr>
      </w:pPr>
      <w:r w:rsidRPr="000A4982">
        <w:rPr>
          <w:rFonts w:eastAsia="Times New Roman" w:cstheme="minorHAnsi"/>
          <w:b/>
          <w:bCs/>
          <w:sz w:val="25"/>
          <w:szCs w:val="25"/>
          <w:lang w:eastAsia="en-ZA"/>
        </w:rPr>
        <w:t>GFS's standards and governance</w:t>
      </w:r>
      <w:r>
        <w:rPr>
          <w:rFonts w:eastAsia="Times New Roman" w:cstheme="minorHAnsi"/>
          <w:b/>
          <w:bCs/>
          <w:sz w:val="25"/>
          <w:szCs w:val="25"/>
          <w:lang w:eastAsia="en-ZA"/>
        </w:rPr>
        <w:t>:</w:t>
      </w:r>
      <w:r w:rsidRPr="000A4982">
        <w:rPr>
          <w:rFonts w:eastAsia="Times New Roman" w:cstheme="minorHAnsi"/>
          <w:sz w:val="25"/>
          <w:szCs w:val="25"/>
          <w:lang w:eastAsia="en-ZA"/>
        </w:rPr>
        <w:br/>
        <w:t>Establish a GFS Process Council with the Head of Process Excellence as its head to establish BPMN style guidelines, name conventions, repository organization, and a sign-off procedure. Before any deployment, demand a model checklist (owner, SLA, compliance tag).</w:t>
      </w:r>
      <w:r w:rsidRPr="000A4982">
        <w:rPr>
          <w:rFonts w:eastAsia="Times New Roman" w:cstheme="minorHAnsi"/>
          <w:sz w:val="25"/>
          <w:szCs w:val="25"/>
          <w:lang w:eastAsia="en-ZA"/>
        </w:rPr>
        <w:br/>
        <w:t>As a result, cross-unit redesigns are made easier and retail banking, wealth, and insurance all have identical schematics.</w:t>
      </w:r>
    </w:p>
    <w:p w14:paraId="393DB6FB" w14:textId="16350AF1" w:rsidR="000A4982" w:rsidRDefault="000A4982" w:rsidP="000A4982">
      <w:pPr>
        <w:pStyle w:val="ListParagraph"/>
        <w:spacing w:after="240" w:line="240" w:lineRule="auto"/>
        <w:ind w:left="360"/>
        <w:rPr>
          <w:rFonts w:eastAsia="Times New Roman" w:cstheme="minorHAnsi"/>
          <w:sz w:val="25"/>
          <w:szCs w:val="25"/>
          <w:lang w:eastAsia="en-ZA"/>
        </w:rPr>
      </w:pPr>
      <w:r w:rsidRPr="000A4982">
        <w:rPr>
          <w:rFonts w:eastAsia="Times New Roman" w:cstheme="minorHAnsi"/>
          <w:sz w:val="25"/>
          <w:szCs w:val="25"/>
          <w:lang w:eastAsia="en-ZA"/>
        </w:rPr>
        <w:br/>
      </w:r>
      <w:r w:rsidRPr="000A4982">
        <w:rPr>
          <w:rFonts w:eastAsia="Times New Roman" w:cstheme="minorHAnsi"/>
          <w:b/>
          <w:bCs/>
          <w:sz w:val="25"/>
          <w:szCs w:val="25"/>
          <w:lang w:eastAsia="en-ZA"/>
        </w:rPr>
        <w:t>Participation of stakeholders at GFS</w:t>
      </w:r>
      <w:r>
        <w:rPr>
          <w:rFonts w:eastAsia="Times New Roman" w:cstheme="minorHAnsi"/>
          <w:sz w:val="25"/>
          <w:szCs w:val="25"/>
          <w:lang w:eastAsia="en-ZA"/>
        </w:rPr>
        <w:t>:</w:t>
      </w:r>
      <w:r w:rsidRPr="000A4982">
        <w:rPr>
          <w:rFonts w:eastAsia="Times New Roman" w:cstheme="minorHAnsi"/>
          <w:sz w:val="25"/>
          <w:szCs w:val="25"/>
          <w:lang w:eastAsia="en-ZA"/>
        </w:rPr>
        <w:br/>
        <w:t>For every significant process (like loan origination), conduct discovery workshops involving frontline service managers, compliance, risk, and developers. Validate "as-is" artifacts by conducting facilitated process walkthroughs with SMEs.</w:t>
      </w:r>
      <w:r w:rsidRPr="000A4982">
        <w:rPr>
          <w:rFonts w:eastAsia="Times New Roman" w:cstheme="minorHAnsi"/>
          <w:sz w:val="25"/>
          <w:szCs w:val="25"/>
          <w:lang w:eastAsia="en-ZA"/>
        </w:rPr>
        <w:br/>
        <w:t>Higher operational acceptance at pilot sites and shorter rework cycles are the outcomes.</w:t>
      </w:r>
    </w:p>
    <w:p w14:paraId="0BF182FD" w14:textId="77777777" w:rsidR="000A4982" w:rsidRPr="000A4982" w:rsidRDefault="000A4982" w:rsidP="000A4982">
      <w:pPr>
        <w:pStyle w:val="ListParagraph"/>
        <w:spacing w:after="240" w:line="240" w:lineRule="auto"/>
        <w:ind w:left="360"/>
        <w:rPr>
          <w:rFonts w:eastAsia="Times New Roman" w:cstheme="minorHAnsi"/>
          <w:sz w:val="25"/>
          <w:szCs w:val="25"/>
          <w:lang w:eastAsia="en-ZA"/>
        </w:rPr>
      </w:pPr>
    </w:p>
    <w:p w14:paraId="3930ABC0" w14:textId="5AD7AE2E" w:rsidR="000A4982" w:rsidRPr="000A4982" w:rsidRDefault="000A4982" w:rsidP="000A4982">
      <w:pPr>
        <w:pStyle w:val="ListParagraph"/>
        <w:ind w:left="360"/>
        <w:rPr>
          <w:b/>
          <w:bCs/>
          <w:sz w:val="25"/>
          <w:szCs w:val="25"/>
        </w:rPr>
      </w:pPr>
      <w:r w:rsidRPr="000A4982">
        <w:rPr>
          <w:b/>
          <w:bCs/>
          <w:sz w:val="25"/>
          <w:szCs w:val="25"/>
        </w:rPr>
        <w:t>GFS's tooling and integration</w:t>
      </w:r>
      <w:r w:rsidRPr="000A4982">
        <w:rPr>
          <w:b/>
          <w:bCs/>
          <w:sz w:val="25"/>
          <w:szCs w:val="25"/>
        </w:rPr>
        <w:t>:</w:t>
      </w:r>
    </w:p>
    <w:p w14:paraId="0E353C5B" w14:textId="249EC09A" w:rsidR="000A4982" w:rsidRPr="000A4982" w:rsidRDefault="000A4982" w:rsidP="000A4982">
      <w:pPr>
        <w:pStyle w:val="ListParagraph"/>
        <w:ind w:left="360"/>
        <w:rPr>
          <w:sz w:val="25"/>
          <w:szCs w:val="25"/>
        </w:rPr>
      </w:pPr>
      <w:r w:rsidRPr="000A4982">
        <w:rPr>
          <w:sz w:val="25"/>
          <w:szCs w:val="25"/>
        </w:rPr>
        <w:t>Decide on a BPMN suite that provides interfaces to document management and core banking ledgers, as well as model-to-execution (e.g., deployable BPEL/BPMN engines). Create an API layer so that services are triggered by models instead of point-to-point scripts that are hardcoded.</w:t>
      </w:r>
    </w:p>
    <w:p w14:paraId="2B5918B8" w14:textId="77777777" w:rsidR="000A4982" w:rsidRPr="000A4982" w:rsidRDefault="000A4982" w:rsidP="000A4982">
      <w:pPr>
        <w:pStyle w:val="ListParagraph"/>
        <w:ind w:left="360"/>
        <w:rPr>
          <w:sz w:val="25"/>
          <w:szCs w:val="25"/>
        </w:rPr>
      </w:pPr>
      <w:r w:rsidRPr="000A4982">
        <w:rPr>
          <w:sz w:val="25"/>
          <w:szCs w:val="25"/>
        </w:rPr>
        <w:t>Predictable deployments, shortened integration times, and automated provisioning are the outcomes.</w:t>
      </w:r>
    </w:p>
    <w:p w14:paraId="14162463" w14:textId="77777777" w:rsidR="000A4982" w:rsidRPr="000A4982" w:rsidRDefault="000A4982" w:rsidP="000A4982">
      <w:pPr>
        <w:pStyle w:val="ListParagraph"/>
        <w:ind w:left="360"/>
        <w:rPr>
          <w:sz w:val="25"/>
          <w:szCs w:val="25"/>
        </w:rPr>
      </w:pPr>
    </w:p>
    <w:p w14:paraId="04C3E5B8" w14:textId="0C5603AD" w:rsidR="000A4982" w:rsidRPr="000A4982" w:rsidRDefault="000A4982" w:rsidP="000A4982">
      <w:pPr>
        <w:pStyle w:val="ListParagraph"/>
        <w:ind w:left="360"/>
        <w:rPr>
          <w:b/>
          <w:bCs/>
          <w:sz w:val="25"/>
          <w:szCs w:val="25"/>
        </w:rPr>
      </w:pPr>
      <w:r w:rsidRPr="000A4982">
        <w:rPr>
          <w:b/>
          <w:bCs/>
          <w:sz w:val="25"/>
          <w:szCs w:val="25"/>
        </w:rPr>
        <w:t>Validation and testing of the model at GFS</w:t>
      </w:r>
      <w:r w:rsidRPr="000A4982">
        <w:rPr>
          <w:b/>
          <w:bCs/>
          <w:sz w:val="25"/>
          <w:szCs w:val="25"/>
        </w:rPr>
        <w:t>:</w:t>
      </w:r>
    </w:p>
    <w:p w14:paraId="2A074D18" w14:textId="77F4BFBE" w:rsidR="000A4982" w:rsidRPr="000A4982" w:rsidRDefault="000A4982" w:rsidP="000A4982">
      <w:pPr>
        <w:pStyle w:val="ListParagraph"/>
        <w:ind w:left="360"/>
        <w:rPr>
          <w:sz w:val="25"/>
          <w:szCs w:val="25"/>
        </w:rPr>
      </w:pPr>
      <w:r w:rsidRPr="000A4982">
        <w:rPr>
          <w:sz w:val="25"/>
          <w:szCs w:val="25"/>
        </w:rPr>
        <w:t>Establish unit test suites for process tasks (data validation, exception flows); need model verification using simulations and static tests. Iterate by comparing the model with reality via process mining on historical logs.</w:t>
      </w:r>
    </w:p>
    <w:p w14:paraId="75256363" w14:textId="77777777" w:rsidR="000A4982" w:rsidRPr="000A4982" w:rsidRDefault="000A4982" w:rsidP="000A4982">
      <w:pPr>
        <w:pStyle w:val="ListParagraph"/>
        <w:ind w:left="360"/>
        <w:rPr>
          <w:sz w:val="25"/>
          <w:szCs w:val="25"/>
        </w:rPr>
      </w:pPr>
      <w:r w:rsidRPr="000A4982">
        <w:rPr>
          <w:sz w:val="25"/>
          <w:szCs w:val="25"/>
        </w:rPr>
        <w:t>As a result, exception gaps and hidden deadlocks were found prior to production.</w:t>
      </w:r>
    </w:p>
    <w:p w14:paraId="707B77DB" w14:textId="1F420C9B" w:rsidR="001B0278" w:rsidRDefault="001B0278" w:rsidP="001B0278">
      <w:pPr>
        <w:pStyle w:val="ListParagraph"/>
        <w:ind w:left="360"/>
        <w:rPr>
          <w:sz w:val="26"/>
          <w:szCs w:val="26"/>
        </w:rPr>
      </w:pPr>
    </w:p>
    <w:p w14:paraId="083E8893" w14:textId="77777777" w:rsidR="00F06FEC" w:rsidRPr="00F06FEC" w:rsidRDefault="00F06FEC" w:rsidP="00F06FEC">
      <w:pPr>
        <w:pStyle w:val="ListParagraph"/>
        <w:ind w:left="360"/>
        <w:rPr>
          <w:b/>
          <w:bCs/>
          <w:sz w:val="26"/>
          <w:szCs w:val="26"/>
        </w:rPr>
      </w:pPr>
      <w:r w:rsidRPr="00F06FEC">
        <w:rPr>
          <w:b/>
          <w:bCs/>
          <w:sz w:val="26"/>
          <w:szCs w:val="26"/>
        </w:rPr>
        <w:t>At GFS, training and change:</w:t>
      </w:r>
    </w:p>
    <w:p w14:paraId="3861F500" w14:textId="57997B77" w:rsidR="00F06FEC" w:rsidRPr="00F06FEC" w:rsidRDefault="00F06FEC" w:rsidP="00F06FEC">
      <w:pPr>
        <w:pStyle w:val="ListParagraph"/>
        <w:ind w:left="360"/>
        <w:rPr>
          <w:sz w:val="26"/>
          <w:szCs w:val="26"/>
        </w:rPr>
      </w:pPr>
      <w:r w:rsidRPr="00F06FEC">
        <w:rPr>
          <w:sz w:val="26"/>
          <w:szCs w:val="26"/>
        </w:rPr>
        <w:t>Conduct a GFS BPMN Level 1 (analyst) and Level 2 (developer/owner) certification training. To assist modeling questions, combine training with a center of excellence (CoE) and a mentoring program.</w:t>
      </w:r>
    </w:p>
    <w:p w14:paraId="2100CB68" w14:textId="77777777" w:rsidR="00F06FEC" w:rsidRPr="00F06FEC" w:rsidRDefault="00F06FEC" w:rsidP="00F06FEC">
      <w:pPr>
        <w:pStyle w:val="ListParagraph"/>
        <w:ind w:left="360"/>
        <w:rPr>
          <w:sz w:val="26"/>
          <w:szCs w:val="26"/>
        </w:rPr>
      </w:pPr>
      <w:r w:rsidRPr="00F06FEC">
        <w:rPr>
          <w:sz w:val="26"/>
          <w:szCs w:val="26"/>
        </w:rPr>
        <w:t>As a result, modeling mistakes are decreased and process redesign proceeds more quickly.</w:t>
      </w:r>
    </w:p>
    <w:p w14:paraId="3688166B" w14:textId="77777777" w:rsidR="00F06FEC" w:rsidRPr="00F06FEC" w:rsidRDefault="00F06FEC" w:rsidP="00F06FEC">
      <w:pPr>
        <w:pStyle w:val="ListParagraph"/>
        <w:ind w:left="360"/>
        <w:rPr>
          <w:sz w:val="26"/>
          <w:szCs w:val="26"/>
        </w:rPr>
      </w:pPr>
    </w:p>
    <w:p w14:paraId="1DD0E535" w14:textId="77777777" w:rsidR="00F06FEC" w:rsidRPr="00F06FEC" w:rsidRDefault="00F06FEC" w:rsidP="00F06FEC">
      <w:pPr>
        <w:pStyle w:val="ListParagraph"/>
        <w:ind w:left="360"/>
        <w:rPr>
          <w:b/>
          <w:bCs/>
          <w:sz w:val="26"/>
          <w:szCs w:val="26"/>
        </w:rPr>
      </w:pPr>
      <w:r w:rsidRPr="00F06FEC">
        <w:rPr>
          <w:b/>
          <w:bCs/>
          <w:sz w:val="26"/>
          <w:szCs w:val="26"/>
        </w:rPr>
        <w:t>At GFS, compliance and lifecycle checks:</w:t>
      </w:r>
    </w:p>
    <w:p w14:paraId="03062B37" w14:textId="4E551081" w:rsidR="00F06FEC" w:rsidRPr="00F06FEC" w:rsidRDefault="00F06FEC" w:rsidP="00F06FEC">
      <w:pPr>
        <w:pStyle w:val="ListParagraph"/>
        <w:ind w:left="360"/>
        <w:rPr>
          <w:sz w:val="26"/>
          <w:szCs w:val="26"/>
        </w:rPr>
      </w:pPr>
      <w:r w:rsidRPr="00F06FEC">
        <w:rPr>
          <w:sz w:val="26"/>
          <w:szCs w:val="26"/>
        </w:rPr>
        <w:t>Integrate a compliance rule engine: before being signed off, each model must pass automated compliance tests (SeaFlows-style) and have required compliance tags (such as "AML_Review" and "DataRetention"). Maintain execution audit trails for authorities.</w:t>
      </w:r>
    </w:p>
    <w:p w14:paraId="43EA4D62" w14:textId="36225E85" w:rsidR="000A4982" w:rsidRDefault="00F06FEC" w:rsidP="00F06FEC">
      <w:pPr>
        <w:pStyle w:val="ListParagraph"/>
        <w:ind w:left="360"/>
        <w:rPr>
          <w:sz w:val="26"/>
          <w:szCs w:val="26"/>
        </w:rPr>
      </w:pPr>
      <w:r w:rsidRPr="00F06FEC">
        <w:rPr>
          <w:sz w:val="26"/>
          <w:szCs w:val="26"/>
        </w:rPr>
        <w:t>Stronger auditability and a quicker reaction to regulatory inspections are the outcomes.</w:t>
      </w:r>
    </w:p>
    <w:p w14:paraId="5F90E96F" w14:textId="55582E5A" w:rsidR="00F06FEC" w:rsidRDefault="00F06FEC" w:rsidP="00F06FEC">
      <w:pPr>
        <w:pStyle w:val="ListParagraph"/>
        <w:ind w:left="360"/>
        <w:rPr>
          <w:sz w:val="26"/>
          <w:szCs w:val="26"/>
        </w:rPr>
      </w:pPr>
    </w:p>
    <w:p w14:paraId="32F7032B" w14:textId="106B6B3B" w:rsidR="00F06FEC" w:rsidRDefault="00F06FEC" w:rsidP="00F06FEC">
      <w:pPr>
        <w:pStyle w:val="ListParagraph"/>
        <w:numPr>
          <w:ilvl w:val="1"/>
          <w:numId w:val="2"/>
        </w:numPr>
        <w:rPr>
          <w:sz w:val="26"/>
          <w:szCs w:val="26"/>
        </w:rPr>
      </w:pPr>
      <w:r>
        <w:rPr>
          <w:sz w:val="26"/>
          <w:szCs w:val="26"/>
        </w:rPr>
        <w:t xml:space="preserve">Impact of not complying with BPMN best practices </w:t>
      </w:r>
    </w:p>
    <w:p w14:paraId="1E84C6FB" w14:textId="77777777" w:rsidR="00F06FEC" w:rsidRPr="00F06FEC" w:rsidRDefault="00F06FEC" w:rsidP="00922BB3">
      <w:pPr>
        <w:pStyle w:val="ListParagraph"/>
        <w:numPr>
          <w:ilvl w:val="0"/>
          <w:numId w:val="7"/>
        </w:numPr>
        <w:rPr>
          <w:sz w:val="25"/>
          <w:szCs w:val="25"/>
        </w:rPr>
      </w:pPr>
      <w:r w:rsidRPr="00F06FEC">
        <w:rPr>
          <w:sz w:val="25"/>
          <w:szCs w:val="25"/>
        </w:rPr>
        <w:t>Unreliable and unimplementable models</w:t>
      </w:r>
    </w:p>
    <w:p w14:paraId="66D24613" w14:textId="77777777" w:rsidR="00F06FEC" w:rsidRPr="00F06FEC" w:rsidRDefault="00F06FEC" w:rsidP="00922BB3">
      <w:pPr>
        <w:pStyle w:val="ListParagraph"/>
        <w:numPr>
          <w:ilvl w:val="1"/>
          <w:numId w:val="7"/>
        </w:numPr>
        <w:rPr>
          <w:sz w:val="25"/>
          <w:szCs w:val="25"/>
        </w:rPr>
      </w:pPr>
      <w:r w:rsidRPr="00F06FEC">
        <w:rPr>
          <w:sz w:val="25"/>
          <w:szCs w:val="25"/>
        </w:rPr>
        <w:t>Models become inconsistent, untestable, and non-deployable in the absence of governance and tooling rigor, leading to rework and project delays (Lopes &amp; Guerreiro, 2023).</w:t>
      </w:r>
    </w:p>
    <w:p w14:paraId="2BD73E44" w14:textId="77777777" w:rsidR="00F06FEC" w:rsidRPr="00F06FEC" w:rsidRDefault="00F06FEC" w:rsidP="00F06FEC">
      <w:pPr>
        <w:pStyle w:val="ListParagraph"/>
        <w:ind w:left="360"/>
        <w:rPr>
          <w:sz w:val="25"/>
          <w:szCs w:val="25"/>
        </w:rPr>
      </w:pPr>
    </w:p>
    <w:p w14:paraId="7B7C77BD" w14:textId="77777777" w:rsidR="00F06FEC" w:rsidRPr="00F06FEC" w:rsidRDefault="00F06FEC" w:rsidP="00922BB3">
      <w:pPr>
        <w:pStyle w:val="ListParagraph"/>
        <w:numPr>
          <w:ilvl w:val="0"/>
          <w:numId w:val="7"/>
        </w:numPr>
        <w:rPr>
          <w:sz w:val="25"/>
          <w:szCs w:val="25"/>
        </w:rPr>
      </w:pPr>
      <w:r w:rsidRPr="00F06FEC">
        <w:rPr>
          <w:sz w:val="25"/>
          <w:szCs w:val="25"/>
        </w:rPr>
        <w:t>Failures in compliance and operational risk</w:t>
      </w:r>
    </w:p>
    <w:p w14:paraId="710A80F9" w14:textId="77777777" w:rsidR="00F06FEC" w:rsidRPr="00F06FEC" w:rsidRDefault="00F06FEC" w:rsidP="00922BB3">
      <w:pPr>
        <w:pStyle w:val="ListParagraph"/>
        <w:numPr>
          <w:ilvl w:val="1"/>
          <w:numId w:val="7"/>
        </w:numPr>
        <w:rPr>
          <w:sz w:val="25"/>
          <w:szCs w:val="25"/>
        </w:rPr>
      </w:pPr>
      <w:r w:rsidRPr="00F06FEC">
        <w:rPr>
          <w:sz w:val="25"/>
          <w:szCs w:val="25"/>
        </w:rPr>
        <w:t>The danger of regulatory violations (AML/KYC mistakes, reporting gaps) is increased by weak compliance embedding, and these can result in significant fines and harm to one's reputation (Hashmi et al., 2018).</w:t>
      </w:r>
    </w:p>
    <w:p w14:paraId="3B02BF47" w14:textId="77777777" w:rsidR="00F06FEC" w:rsidRPr="00F06FEC" w:rsidRDefault="00F06FEC" w:rsidP="00F06FEC">
      <w:pPr>
        <w:pStyle w:val="ListParagraph"/>
        <w:ind w:left="360"/>
        <w:rPr>
          <w:sz w:val="25"/>
          <w:szCs w:val="25"/>
        </w:rPr>
      </w:pPr>
    </w:p>
    <w:p w14:paraId="7370D324" w14:textId="77777777" w:rsidR="00F06FEC" w:rsidRPr="00F06FEC" w:rsidRDefault="00F06FEC" w:rsidP="00922BB3">
      <w:pPr>
        <w:pStyle w:val="ListParagraph"/>
        <w:numPr>
          <w:ilvl w:val="0"/>
          <w:numId w:val="7"/>
        </w:numPr>
        <w:rPr>
          <w:sz w:val="25"/>
          <w:szCs w:val="25"/>
        </w:rPr>
      </w:pPr>
      <w:r w:rsidRPr="00F06FEC">
        <w:rPr>
          <w:sz w:val="25"/>
          <w:szCs w:val="25"/>
        </w:rPr>
        <w:t>Ineffective adoption and squandered funds</w:t>
      </w:r>
    </w:p>
    <w:p w14:paraId="4A610FCD" w14:textId="77777777" w:rsidR="00F06FEC" w:rsidRPr="00F06FEC" w:rsidRDefault="00F06FEC" w:rsidP="00922BB3">
      <w:pPr>
        <w:pStyle w:val="ListParagraph"/>
        <w:numPr>
          <w:ilvl w:val="1"/>
          <w:numId w:val="7"/>
        </w:numPr>
        <w:rPr>
          <w:sz w:val="25"/>
          <w:szCs w:val="25"/>
        </w:rPr>
      </w:pPr>
      <w:r w:rsidRPr="00F06FEC">
        <w:rPr>
          <w:sz w:val="25"/>
          <w:szCs w:val="25"/>
        </w:rPr>
        <w:t>Low user adoption and a return to shadow procedures by teams due to a lack of stakeholder engagement and training negate the investment in digital transformation (Koopman &amp; Seymour, 2020).</w:t>
      </w:r>
    </w:p>
    <w:p w14:paraId="08A811E7" w14:textId="77777777" w:rsidR="00F06FEC" w:rsidRPr="00F06FEC" w:rsidRDefault="00F06FEC" w:rsidP="00F06FEC">
      <w:pPr>
        <w:pStyle w:val="ListParagraph"/>
        <w:ind w:left="360"/>
        <w:rPr>
          <w:sz w:val="25"/>
          <w:szCs w:val="25"/>
        </w:rPr>
      </w:pPr>
    </w:p>
    <w:p w14:paraId="32C38A02" w14:textId="77777777" w:rsidR="00F06FEC" w:rsidRPr="00F06FEC" w:rsidRDefault="00F06FEC" w:rsidP="00922BB3">
      <w:pPr>
        <w:pStyle w:val="ListParagraph"/>
        <w:numPr>
          <w:ilvl w:val="0"/>
          <w:numId w:val="7"/>
        </w:numPr>
        <w:rPr>
          <w:sz w:val="25"/>
          <w:szCs w:val="25"/>
        </w:rPr>
      </w:pPr>
      <w:r w:rsidRPr="00F06FEC">
        <w:rPr>
          <w:sz w:val="25"/>
          <w:szCs w:val="25"/>
        </w:rPr>
        <w:t>Technical debt and integration fragility</w:t>
      </w:r>
    </w:p>
    <w:p w14:paraId="07619680" w14:textId="7550C268" w:rsidR="006E15E5" w:rsidRDefault="00F06FEC" w:rsidP="00922BB3">
      <w:pPr>
        <w:pStyle w:val="ListParagraph"/>
        <w:numPr>
          <w:ilvl w:val="1"/>
          <w:numId w:val="7"/>
        </w:numPr>
        <w:rPr>
          <w:sz w:val="25"/>
          <w:szCs w:val="25"/>
        </w:rPr>
      </w:pPr>
      <w:r w:rsidRPr="00F06FEC">
        <w:rPr>
          <w:sz w:val="25"/>
          <w:szCs w:val="25"/>
        </w:rPr>
        <w:t>Brittle point-to-point solutions are produced by selecting subpar tools or disregarding integration patterns, which raises technological debt and causes operational disruptions (Koops et al., 2016).</w:t>
      </w:r>
    </w:p>
    <w:p w14:paraId="363EF995" w14:textId="77777777" w:rsidR="006E15E5" w:rsidRDefault="006E15E5" w:rsidP="006E15E5">
      <w:pPr>
        <w:pStyle w:val="ListParagraph"/>
        <w:ind w:left="1080"/>
        <w:rPr>
          <w:sz w:val="25"/>
          <w:szCs w:val="25"/>
        </w:rPr>
      </w:pPr>
    </w:p>
    <w:p w14:paraId="1C31C673" w14:textId="77777777" w:rsidR="006E15E5" w:rsidRPr="006E15E5" w:rsidRDefault="006E15E5" w:rsidP="00922BB3">
      <w:pPr>
        <w:pStyle w:val="ListParagraph"/>
        <w:numPr>
          <w:ilvl w:val="0"/>
          <w:numId w:val="7"/>
        </w:numPr>
        <w:rPr>
          <w:sz w:val="25"/>
          <w:szCs w:val="25"/>
        </w:rPr>
      </w:pPr>
      <w:r w:rsidRPr="006E15E5">
        <w:rPr>
          <w:sz w:val="25"/>
          <w:szCs w:val="25"/>
        </w:rPr>
        <w:t>Financial leakage and covert process flaws</w:t>
      </w:r>
    </w:p>
    <w:p w14:paraId="2F0DF696" w14:textId="28F98EE4" w:rsidR="006E15E5" w:rsidRDefault="006E15E5" w:rsidP="00922BB3">
      <w:pPr>
        <w:pStyle w:val="ListParagraph"/>
        <w:numPr>
          <w:ilvl w:val="1"/>
          <w:numId w:val="7"/>
        </w:numPr>
        <w:rPr>
          <w:sz w:val="25"/>
          <w:szCs w:val="25"/>
        </w:rPr>
      </w:pPr>
      <w:r w:rsidRPr="006E15E5">
        <w:rPr>
          <w:sz w:val="25"/>
          <w:szCs w:val="25"/>
        </w:rPr>
        <w:t>Deadlocks, unhandled exceptions, and transaction inconsistencies might reach production when thorough model testing is skipped, leading to lost revenue, refunds, and operational disruptions (Lopes &amp; Guerreiro, 2023; Polančič &amp; Orban, 2023).</w:t>
      </w:r>
    </w:p>
    <w:p w14:paraId="28E3341B" w14:textId="77777777" w:rsidR="006E15E5" w:rsidRPr="006E15E5" w:rsidRDefault="006E15E5" w:rsidP="006E15E5">
      <w:pPr>
        <w:rPr>
          <w:sz w:val="25"/>
          <w:szCs w:val="25"/>
        </w:rPr>
      </w:pPr>
    </w:p>
    <w:p w14:paraId="13CE0E2D" w14:textId="2466FFB9" w:rsidR="00456266" w:rsidRDefault="00456266" w:rsidP="006E15E5">
      <w:pPr>
        <w:pStyle w:val="Quote"/>
        <w:rPr>
          <w:b/>
          <w:bCs/>
          <w:sz w:val="28"/>
          <w:szCs w:val="28"/>
        </w:rPr>
      </w:pPr>
      <w:r w:rsidRPr="00456266">
        <w:rPr>
          <w:b/>
          <w:bCs/>
          <w:sz w:val="28"/>
          <w:szCs w:val="28"/>
        </w:rPr>
        <w:t>Question 2</w:t>
      </w:r>
    </w:p>
    <w:p w14:paraId="1E6D2E8E" w14:textId="41C25F8F" w:rsidR="006E15E5" w:rsidRPr="00440743" w:rsidRDefault="00440743" w:rsidP="00440743">
      <w:pPr>
        <w:pStyle w:val="Quote"/>
        <w:rPr>
          <w:b/>
          <w:bCs/>
          <w:sz w:val="26"/>
          <w:szCs w:val="26"/>
        </w:rPr>
      </w:pPr>
      <w:r>
        <w:rPr>
          <w:b/>
          <w:bCs/>
          <w:sz w:val="26"/>
          <w:szCs w:val="26"/>
        </w:rPr>
        <w:t>(A)</w:t>
      </w:r>
      <w:r w:rsidR="006E15E5" w:rsidRPr="00440743">
        <w:rPr>
          <w:b/>
          <w:bCs/>
          <w:sz w:val="26"/>
          <w:szCs w:val="26"/>
        </w:rPr>
        <w:t xml:space="preserve"> </w:t>
      </w:r>
      <w:r w:rsidR="006E15E5" w:rsidRPr="00440743">
        <w:rPr>
          <w:b/>
          <w:bCs/>
          <w:sz w:val="26"/>
          <w:szCs w:val="26"/>
        </w:rPr>
        <w:t>Organizational readiness &amp; preparation</w:t>
      </w:r>
    </w:p>
    <w:p w14:paraId="15B7CAC4" w14:textId="1373872A" w:rsidR="00922BB3" w:rsidRPr="00922BB3" w:rsidRDefault="00922BB3" w:rsidP="00922BB3">
      <w:pPr>
        <w:pStyle w:val="ListParagraph"/>
        <w:rPr>
          <w:b/>
          <w:bCs/>
          <w:sz w:val="26"/>
          <w:szCs w:val="26"/>
        </w:rPr>
      </w:pPr>
      <w:r w:rsidRPr="00922BB3">
        <w:rPr>
          <w:b/>
          <w:bCs/>
          <w:sz w:val="26"/>
          <w:szCs w:val="26"/>
        </w:rPr>
        <w:t>Important steps GFS needs to conduct prior to modeling and deployment:</w:t>
      </w:r>
    </w:p>
    <w:p w14:paraId="2E28CAC0" w14:textId="52151B1E" w:rsidR="00922BB3" w:rsidRPr="00922BB3" w:rsidRDefault="00922BB3" w:rsidP="00922BB3">
      <w:pPr>
        <w:pStyle w:val="ListParagraph"/>
        <w:numPr>
          <w:ilvl w:val="0"/>
          <w:numId w:val="9"/>
        </w:numPr>
        <w:rPr>
          <w:sz w:val="26"/>
          <w:szCs w:val="26"/>
        </w:rPr>
      </w:pPr>
      <w:r w:rsidRPr="00922BB3">
        <w:rPr>
          <w:sz w:val="26"/>
          <w:szCs w:val="26"/>
        </w:rPr>
        <w:t>Maturity &amp; Landscape Assessment: Map current processes, systems (ERP/legacy), and integration points by conducting a BPMS/BPM maturity assessment. In addition to highlighting technological debt that can prevent executable models, this sets the baseline for BPMN scope (Chang, 2016).</w:t>
      </w:r>
    </w:p>
    <w:p w14:paraId="37C8723E" w14:textId="0EBE24F8" w:rsidR="00922BB3" w:rsidRPr="00922BB3" w:rsidRDefault="00922BB3" w:rsidP="00922BB3">
      <w:pPr>
        <w:pStyle w:val="ListParagraph"/>
        <w:numPr>
          <w:ilvl w:val="0"/>
          <w:numId w:val="9"/>
        </w:numPr>
        <w:rPr>
          <w:sz w:val="26"/>
          <w:szCs w:val="26"/>
        </w:rPr>
      </w:pPr>
      <w:r w:rsidRPr="00922BB3">
        <w:rPr>
          <w:sz w:val="26"/>
          <w:szCs w:val="26"/>
        </w:rPr>
        <w:t>To ensure that projects provide business value rather than just diagrams, define business objectives and performance measures. Then, link BPMN activities to quantifiable KPIs (such as transaction turnaround time, exception rate, and compliance audit score) (Mariya et al., 2024).</w:t>
      </w:r>
    </w:p>
    <w:p w14:paraId="1FD397CE" w14:textId="65B95723" w:rsidR="00922BB3" w:rsidRDefault="00922BB3" w:rsidP="00922BB3">
      <w:pPr>
        <w:pStyle w:val="ListParagraph"/>
        <w:numPr>
          <w:ilvl w:val="0"/>
          <w:numId w:val="9"/>
        </w:numPr>
        <w:rPr>
          <w:sz w:val="26"/>
          <w:szCs w:val="26"/>
        </w:rPr>
      </w:pPr>
      <w:r w:rsidRPr="00922BB3">
        <w:rPr>
          <w:sz w:val="26"/>
          <w:szCs w:val="26"/>
        </w:rPr>
        <w:t>Selecting a pilot and controlling its scope: pick a limited-scope pilot (such as processing claims or disbursing loans) with measurable results, manageable system dependencies, and a clear volume. Use the pilot to confirm integration patterns and pinpoint areas that require adaption (Pillat et al., 2019).</w:t>
      </w:r>
    </w:p>
    <w:p w14:paraId="7C482CA8" w14:textId="1D1FD514" w:rsidR="00922BB3" w:rsidRPr="00922BB3" w:rsidRDefault="00922BB3" w:rsidP="00922BB3">
      <w:pPr>
        <w:pStyle w:val="ListParagraph"/>
        <w:numPr>
          <w:ilvl w:val="0"/>
          <w:numId w:val="9"/>
        </w:numPr>
        <w:rPr>
          <w:sz w:val="26"/>
          <w:szCs w:val="26"/>
        </w:rPr>
      </w:pPr>
      <w:r w:rsidRPr="00922BB3">
        <w:rPr>
          <w:sz w:val="26"/>
          <w:szCs w:val="26"/>
        </w:rPr>
        <w:t>Prepare for adapters in cases where legacy systems lack contemporary interfaces by evaluating middleware, message queues, and APIs. To ensure that BPMN activities may reliably call services, create data contracts and canonical message formats (Arévalo et al., 2016).</w:t>
      </w:r>
    </w:p>
    <w:p w14:paraId="1250C89D" w14:textId="693E10E4" w:rsidR="00922BB3" w:rsidRDefault="00922BB3" w:rsidP="00922BB3">
      <w:pPr>
        <w:pStyle w:val="ListParagraph"/>
        <w:numPr>
          <w:ilvl w:val="0"/>
          <w:numId w:val="9"/>
        </w:numPr>
        <w:rPr>
          <w:sz w:val="26"/>
          <w:szCs w:val="26"/>
        </w:rPr>
      </w:pPr>
      <w:r w:rsidRPr="00922BB3">
        <w:rPr>
          <w:sz w:val="26"/>
          <w:szCs w:val="26"/>
        </w:rPr>
        <w:t>To lower production risk at launch, conduct risk assessment and rollback planning, document compliance/regulatory limits, and build fallbacks (manual override, compensation flows) (Oukharijane et al., 2019).</w:t>
      </w:r>
    </w:p>
    <w:p w14:paraId="1416269C" w14:textId="1656C128" w:rsidR="00922BB3" w:rsidRPr="00440743" w:rsidRDefault="00440743" w:rsidP="00440743">
      <w:pPr>
        <w:pStyle w:val="Quote"/>
        <w:rPr>
          <w:b/>
          <w:bCs/>
          <w:sz w:val="26"/>
          <w:szCs w:val="26"/>
        </w:rPr>
      </w:pPr>
      <w:r>
        <w:rPr>
          <w:b/>
          <w:bCs/>
          <w:sz w:val="26"/>
          <w:szCs w:val="26"/>
        </w:rPr>
        <w:t>(B)</w:t>
      </w:r>
      <w:r w:rsidR="00922BB3" w:rsidRPr="00440743">
        <w:rPr>
          <w:b/>
          <w:bCs/>
          <w:sz w:val="26"/>
          <w:szCs w:val="26"/>
        </w:rPr>
        <w:t xml:space="preserve"> </w:t>
      </w:r>
      <w:r w:rsidR="00922BB3" w:rsidRPr="00440743">
        <w:rPr>
          <w:b/>
          <w:bCs/>
          <w:sz w:val="26"/>
          <w:szCs w:val="26"/>
        </w:rPr>
        <w:t>Training and skills development</w:t>
      </w:r>
      <w:r w:rsidR="00922BB3" w:rsidRPr="00440743">
        <w:rPr>
          <w:b/>
          <w:bCs/>
          <w:sz w:val="26"/>
          <w:szCs w:val="26"/>
        </w:rPr>
        <w:t xml:space="preserve"> in various stakeholder groups</w:t>
      </w:r>
    </w:p>
    <w:p w14:paraId="66523E22" w14:textId="77777777" w:rsidR="00657A2C" w:rsidRPr="00657A2C" w:rsidRDefault="00657A2C" w:rsidP="00657A2C">
      <w:pPr>
        <w:rPr>
          <w:b/>
          <w:bCs/>
          <w:sz w:val="26"/>
          <w:szCs w:val="26"/>
        </w:rPr>
      </w:pPr>
      <w:r w:rsidRPr="00657A2C">
        <w:rPr>
          <w:b/>
          <w:bCs/>
          <w:sz w:val="26"/>
          <w:szCs w:val="26"/>
        </w:rPr>
        <w:t>Role-based curriculum: </w:t>
      </w:r>
    </w:p>
    <w:p w14:paraId="6D2DE6D4" w14:textId="3B2520D9" w:rsidR="00657A2C" w:rsidRPr="00CF32DD" w:rsidRDefault="00657A2C" w:rsidP="00657A2C">
      <w:pPr>
        <w:pStyle w:val="ListParagraph"/>
        <w:numPr>
          <w:ilvl w:val="0"/>
          <w:numId w:val="11"/>
        </w:numPr>
        <w:rPr>
          <w:sz w:val="25"/>
          <w:szCs w:val="25"/>
        </w:rPr>
      </w:pPr>
      <w:r w:rsidRPr="00CF32DD">
        <w:rPr>
          <w:sz w:val="25"/>
          <w:szCs w:val="25"/>
        </w:rPr>
        <w:t>briefings for sponsors and executives on governance, ROI measurements, and business value.</w:t>
      </w:r>
    </w:p>
    <w:p w14:paraId="549F6667" w14:textId="7BBDCB17" w:rsidR="00657A2C" w:rsidRPr="00CF32DD" w:rsidRDefault="00657A2C" w:rsidP="00657A2C">
      <w:pPr>
        <w:pStyle w:val="ListParagraph"/>
        <w:numPr>
          <w:ilvl w:val="0"/>
          <w:numId w:val="11"/>
        </w:numPr>
        <w:rPr>
          <w:sz w:val="25"/>
          <w:szCs w:val="25"/>
        </w:rPr>
      </w:pPr>
      <w:r w:rsidRPr="00CF32DD">
        <w:rPr>
          <w:sz w:val="25"/>
          <w:szCs w:val="25"/>
        </w:rPr>
        <w:t>Process analysts and modelers: thorough instruction in BPMN 2.0 modeling, simulation, and verification.</w:t>
      </w:r>
    </w:p>
    <w:p w14:paraId="601B76FC" w14:textId="3E0FB5CA" w:rsidR="00657A2C" w:rsidRPr="00CF32DD" w:rsidRDefault="00657A2C" w:rsidP="00657A2C">
      <w:pPr>
        <w:pStyle w:val="ListParagraph"/>
        <w:numPr>
          <w:ilvl w:val="0"/>
          <w:numId w:val="11"/>
        </w:numPr>
        <w:rPr>
          <w:sz w:val="25"/>
          <w:szCs w:val="25"/>
        </w:rPr>
      </w:pPr>
      <w:r w:rsidRPr="00CF32DD">
        <w:rPr>
          <w:sz w:val="25"/>
          <w:szCs w:val="25"/>
        </w:rPr>
        <w:t>Training for developers and integrators on automated testing, connectors, and model-to-execution technologies.</w:t>
      </w:r>
    </w:p>
    <w:p w14:paraId="46ED3CF5" w14:textId="52F0CE0F" w:rsidR="00657A2C" w:rsidRPr="00CF32DD" w:rsidRDefault="00657A2C" w:rsidP="00657A2C">
      <w:pPr>
        <w:rPr>
          <w:sz w:val="25"/>
          <w:szCs w:val="25"/>
        </w:rPr>
      </w:pPr>
      <w:r w:rsidRPr="00CF32DD">
        <w:rPr>
          <w:sz w:val="25"/>
          <w:szCs w:val="25"/>
        </w:rPr>
        <w:t>Operational personnel should receive "read and act" training to help daily teams comprehend escalation routes and exception flows (Chang, 2016).</w:t>
      </w:r>
    </w:p>
    <w:p w14:paraId="164858CD" w14:textId="77777777" w:rsidR="00657A2C" w:rsidRPr="00657A2C" w:rsidRDefault="00657A2C" w:rsidP="00657A2C">
      <w:pPr>
        <w:rPr>
          <w:b/>
          <w:bCs/>
          <w:sz w:val="26"/>
          <w:szCs w:val="26"/>
        </w:rPr>
      </w:pPr>
      <w:r w:rsidRPr="00657A2C">
        <w:rPr>
          <w:b/>
          <w:bCs/>
          <w:sz w:val="26"/>
          <w:szCs w:val="26"/>
        </w:rPr>
        <w:t>Interactive labs and simulation:</w:t>
      </w:r>
    </w:p>
    <w:p w14:paraId="7B7E945E" w14:textId="7B1DEB8A" w:rsidR="00657A2C" w:rsidRPr="00CF32DD" w:rsidRDefault="00657A2C" w:rsidP="00657A2C">
      <w:pPr>
        <w:rPr>
          <w:sz w:val="25"/>
          <w:szCs w:val="25"/>
        </w:rPr>
      </w:pPr>
      <w:r w:rsidRPr="00CF32DD">
        <w:rPr>
          <w:sz w:val="25"/>
          <w:szCs w:val="25"/>
        </w:rPr>
        <w:t>Run process scenarios using simulation tools and historical logs, and teach participants how to understand the findings of the simulation (Arévalo et al., 2016; Pillat et al., 2019).</w:t>
      </w:r>
    </w:p>
    <w:p w14:paraId="420EE0F2" w14:textId="77777777" w:rsidR="00657A2C" w:rsidRPr="00657A2C" w:rsidRDefault="00657A2C" w:rsidP="00657A2C">
      <w:pPr>
        <w:rPr>
          <w:b/>
          <w:bCs/>
          <w:sz w:val="26"/>
          <w:szCs w:val="26"/>
        </w:rPr>
      </w:pPr>
      <w:r w:rsidRPr="00657A2C">
        <w:rPr>
          <w:b/>
          <w:bCs/>
          <w:sz w:val="26"/>
          <w:szCs w:val="26"/>
        </w:rPr>
        <w:t>Certification and the Center of Excellence (CoE):</w:t>
      </w:r>
    </w:p>
    <w:p w14:paraId="4FD87510" w14:textId="77777777" w:rsidR="00657A2C" w:rsidRPr="00CF32DD" w:rsidRDefault="00657A2C" w:rsidP="00657A2C">
      <w:pPr>
        <w:rPr>
          <w:sz w:val="25"/>
          <w:szCs w:val="25"/>
        </w:rPr>
      </w:pPr>
      <w:r w:rsidRPr="00CF32DD">
        <w:rPr>
          <w:sz w:val="25"/>
          <w:szCs w:val="25"/>
        </w:rPr>
        <w:t>To conduct code/review clinics, host best practices, and certify internal modelers, establish a BPM CoE (Mariya et al., 2024). The Analyst, Owner, and Developer certification levels formalize proficiency and enhance model quality.</w:t>
      </w:r>
    </w:p>
    <w:p w14:paraId="46A2A66F" w14:textId="5A372CCC" w:rsidR="00CF32DD" w:rsidRPr="00CF32DD" w:rsidRDefault="00CF32DD" w:rsidP="00CF32DD">
      <w:pPr>
        <w:rPr>
          <w:b/>
          <w:bCs/>
          <w:sz w:val="26"/>
          <w:szCs w:val="26"/>
        </w:rPr>
      </w:pPr>
      <w:r w:rsidRPr="00CF32DD">
        <w:rPr>
          <w:b/>
          <w:bCs/>
          <w:sz w:val="26"/>
          <w:szCs w:val="26"/>
        </w:rPr>
        <w:t>Constant learning and knowledge acquisition</w:t>
      </w:r>
      <w:r>
        <w:rPr>
          <w:b/>
          <w:bCs/>
          <w:sz w:val="26"/>
          <w:szCs w:val="26"/>
        </w:rPr>
        <w:t>:</w:t>
      </w:r>
    </w:p>
    <w:p w14:paraId="7C7E3266" w14:textId="68D7BE8C" w:rsidR="00922BB3" w:rsidRPr="00CF32DD" w:rsidRDefault="00CF32DD" w:rsidP="00CF32DD">
      <w:pPr>
        <w:rPr>
          <w:sz w:val="25"/>
          <w:szCs w:val="25"/>
        </w:rPr>
      </w:pPr>
      <w:r w:rsidRPr="00CF32DD">
        <w:rPr>
          <w:sz w:val="25"/>
          <w:szCs w:val="25"/>
        </w:rPr>
        <w:t>To help the organization develop its modeling skills over time, use mentorship, model review sessions, and a database of tried-and-true patterns (compensation, timeout, parallel gateways) (Oukharijane et al., 2019).</w:t>
      </w:r>
    </w:p>
    <w:p w14:paraId="272EA1FA" w14:textId="0CC15BAB" w:rsidR="006E15E5" w:rsidRPr="00440743" w:rsidRDefault="00440743" w:rsidP="00440743">
      <w:pPr>
        <w:pStyle w:val="Quote"/>
        <w:rPr>
          <w:b/>
          <w:bCs/>
          <w:sz w:val="26"/>
          <w:szCs w:val="26"/>
        </w:rPr>
      </w:pPr>
      <w:r>
        <w:rPr>
          <w:b/>
          <w:bCs/>
          <w:sz w:val="26"/>
          <w:szCs w:val="26"/>
        </w:rPr>
        <w:t>(C)</w:t>
      </w:r>
      <w:r w:rsidR="00CF32DD" w:rsidRPr="00440743">
        <w:rPr>
          <w:b/>
          <w:bCs/>
          <w:sz w:val="26"/>
          <w:szCs w:val="26"/>
        </w:rPr>
        <w:t xml:space="preserve"> </w:t>
      </w:r>
      <w:r w:rsidR="00CF32DD" w:rsidRPr="00440743">
        <w:rPr>
          <w:b/>
          <w:bCs/>
          <w:sz w:val="26"/>
          <w:szCs w:val="26"/>
        </w:rPr>
        <w:t>Process governance framework &amp; standards</w:t>
      </w:r>
    </w:p>
    <w:p w14:paraId="66E59FA0" w14:textId="65911310" w:rsidR="00CF32DD" w:rsidRPr="00440743" w:rsidRDefault="00CF32DD" w:rsidP="00440743">
      <w:pPr>
        <w:rPr>
          <w:b/>
          <w:bCs/>
          <w:sz w:val="25"/>
          <w:szCs w:val="25"/>
        </w:rPr>
      </w:pPr>
      <w:r w:rsidRPr="00440743">
        <w:rPr>
          <w:b/>
          <w:bCs/>
          <w:sz w:val="25"/>
          <w:szCs w:val="25"/>
        </w:rPr>
        <w:t>Board for Process Management and Its Functions</w:t>
      </w:r>
    </w:p>
    <w:p w14:paraId="6157AA7A" w14:textId="581EFC0E" w:rsidR="00CF32DD" w:rsidRPr="00440743" w:rsidRDefault="00CF32DD" w:rsidP="00440743">
      <w:pPr>
        <w:rPr>
          <w:sz w:val="25"/>
          <w:szCs w:val="25"/>
        </w:rPr>
      </w:pPr>
      <w:r w:rsidRPr="00440743">
        <w:rPr>
          <w:sz w:val="25"/>
          <w:szCs w:val="25"/>
        </w:rPr>
        <w:t>Establish roles for modeling, testing, deployment, and post-live maintenance; appoint owners (process, data, and compliance) and an approval board (Mariya et al., 2024).</w:t>
      </w:r>
    </w:p>
    <w:p w14:paraId="1414C46B" w14:textId="099548AC" w:rsidR="00CF32DD" w:rsidRPr="00440743" w:rsidRDefault="00CF32DD" w:rsidP="00440743">
      <w:pPr>
        <w:rPr>
          <w:b/>
          <w:bCs/>
          <w:sz w:val="25"/>
          <w:szCs w:val="25"/>
        </w:rPr>
      </w:pPr>
      <w:r w:rsidRPr="00440743">
        <w:rPr>
          <w:b/>
          <w:bCs/>
          <w:sz w:val="25"/>
          <w:szCs w:val="25"/>
        </w:rPr>
        <w:t>Model guidelines and repository regulations</w:t>
      </w:r>
    </w:p>
    <w:p w14:paraId="0F2F0417" w14:textId="2B4383AB" w:rsidR="00CF32DD" w:rsidRPr="00440743" w:rsidRDefault="00CF32DD" w:rsidP="00440743">
      <w:pPr>
        <w:rPr>
          <w:sz w:val="25"/>
          <w:szCs w:val="25"/>
        </w:rPr>
      </w:pPr>
      <w:r w:rsidRPr="00440743">
        <w:rPr>
          <w:sz w:val="25"/>
          <w:szCs w:val="25"/>
        </w:rPr>
        <w:t>Adopt a version control policy, a style guide (name, swimlane usage, sub-process rules), and a single canonical repository (registry) for all models that have been accepted (Pillat et al., 2019).</w:t>
      </w:r>
    </w:p>
    <w:p w14:paraId="75F5B490" w14:textId="56B00922" w:rsidR="00CF32DD" w:rsidRPr="00440743" w:rsidRDefault="00CF32DD" w:rsidP="00440743">
      <w:pPr>
        <w:rPr>
          <w:b/>
          <w:bCs/>
          <w:sz w:val="25"/>
          <w:szCs w:val="25"/>
        </w:rPr>
      </w:pPr>
      <w:r w:rsidRPr="00440743">
        <w:rPr>
          <w:b/>
          <w:bCs/>
          <w:sz w:val="25"/>
          <w:szCs w:val="25"/>
        </w:rPr>
        <w:t>Automated compliance and validation checks</w:t>
      </w:r>
    </w:p>
    <w:p w14:paraId="5A546B85" w14:textId="37B8831F" w:rsidR="00CF32DD" w:rsidRPr="00440743" w:rsidRDefault="00CF32DD" w:rsidP="00440743">
      <w:pPr>
        <w:rPr>
          <w:sz w:val="25"/>
          <w:szCs w:val="25"/>
        </w:rPr>
      </w:pPr>
      <w:r w:rsidRPr="00440743">
        <w:rPr>
          <w:sz w:val="25"/>
          <w:szCs w:val="25"/>
        </w:rPr>
        <w:t>In order to prevent models from being published before passing syntactic and semantic testing, incorporate static checks and formal verification (deadlock checks, token-flow validation) into the pipeline (Lopes &amp; Guerreiro evaluated approaches — mentioned in earlier Q1). If regulatory tags are required, perform SeaFlows-style compliance checks as well (Arévalo et al., 2016; Oukharijane et al., 2019).</w:t>
      </w:r>
    </w:p>
    <w:p w14:paraId="7E9D24A3" w14:textId="556F705E" w:rsidR="00440743" w:rsidRPr="00440743" w:rsidRDefault="00440743" w:rsidP="00440743">
      <w:pPr>
        <w:rPr>
          <w:b/>
          <w:bCs/>
          <w:sz w:val="25"/>
          <w:szCs w:val="25"/>
        </w:rPr>
      </w:pPr>
      <w:r w:rsidRPr="00440743">
        <w:rPr>
          <w:b/>
          <w:bCs/>
          <w:sz w:val="25"/>
          <w:szCs w:val="25"/>
        </w:rPr>
        <w:t>Audits of change control and lifecycles</w:t>
      </w:r>
    </w:p>
    <w:p w14:paraId="4F6B5119" w14:textId="558B20A0" w:rsidR="00440743" w:rsidRPr="00440743" w:rsidRDefault="00440743" w:rsidP="00440743">
      <w:pPr>
        <w:rPr>
          <w:sz w:val="25"/>
          <w:szCs w:val="25"/>
        </w:rPr>
      </w:pPr>
      <w:r w:rsidRPr="00440743">
        <w:rPr>
          <w:sz w:val="25"/>
          <w:szCs w:val="25"/>
        </w:rPr>
        <w:t>Every change needs to go through review, testing, and audit processes similar to those in CI/CD. For regulatory scrutiny, keep an audit trail and process lineage (Chang, 2016).</w:t>
      </w:r>
    </w:p>
    <w:p w14:paraId="6B1F08AE" w14:textId="409CAC4F" w:rsidR="00440743" w:rsidRPr="00440743" w:rsidRDefault="00440743" w:rsidP="00440743">
      <w:pPr>
        <w:rPr>
          <w:b/>
          <w:bCs/>
          <w:sz w:val="25"/>
          <w:szCs w:val="25"/>
        </w:rPr>
      </w:pPr>
      <w:r w:rsidRPr="00440743">
        <w:rPr>
          <w:b/>
          <w:bCs/>
          <w:sz w:val="25"/>
          <w:szCs w:val="25"/>
        </w:rPr>
        <w:t>KPIs and the circle of continuous development</w:t>
      </w:r>
    </w:p>
    <w:p w14:paraId="3C8B1487" w14:textId="7C21345C" w:rsidR="00440743" w:rsidRDefault="00440743" w:rsidP="00440743">
      <w:pPr>
        <w:rPr>
          <w:sz w:val="25"/>
          <w:szCs w:val="25"/>
        </w:rPr>
      </w:pPr>
      <w:r w:rsidRPr="00440743">
        <w:rPr>
          <w:sz w:val="25"/>
          <w:szCs w:val="25"/>
        </w:rPr>
        <w:t>Analyze time-to-deploy, exception frequency, and model reusability; report these findings to CoE for process enhancement (Mariya et al., 2024).</w:t>
      </w:r>
    </w:p>
    <w:p w14:paraId="20E2B079" w14:textId="77777777" w:rsidR="00440743" w:rsidRPr="00440743" w:rsidRDefault="00440743" w:rsidP="00440743">
      <w:pPr>
        <w:rPr>
          <w:sz w:val="25"/>
          <w:szCs w:val="25"/>
        </w:rPr>
      </w:pPr>
    </w:p>
    <w:p w14:paraId="00E36B91" w14:textId="770DB74E" w:rsidR="00456266" w:rsidRPr="006E15E5" w:rsidRDefault="00456266" w:rsidP="006E15E5">
      <w:pPr>
        <w:pStyle w:val="Quote"/>
        <w:rPr>
          <w:b/>
          <w:bCs/>
          <w:sz w:val="28"/>
          <w:szCs w:val="28"/>
        </w:rPr>
      </w:pPr>
      <w:r w:rsidRPr="006E15E5">
        <w:rPr>
          <w:b/>
          <w:bCs/>
          <w:sz w:val="28"/>
          <w:szCs w:val="28"/>
        </w:rPr>
        <w:t>Question 3</w:t>
      </w:r>
    </w:p>
    <w:p w14:paraId="09396C17" w14:textId="7B910970" w:rsidR="00456266" w:rsidRDefault="00073EDA" w:rsidP="00073EDA">
      <w:pPr>
        <w:pStyle w:val="Quote"/>
        <w:numPr>
          <w:ilvl w:val="0"/>
          <w:numId w:val="14"/>
        </w:numPr>
        <w:rPr>
          <w:b/>
          <w:bCs/>
          <w:sz w:val="26"/>
          <w:szCs w:val="26"/>
        </w:rPr>
      </w:pPr>
      <w:r w:rsidRPr="00073EDA">
        <w:rPr>
          <w:b/>
          <w:bCs/>
          <w:sz w:val="26"/>
          <w:szCs w:val="26"/>
        </w:rPr>
        <w:t>Emerging trends in BPMN</w:t>
      </w:r>
      <w:r>
        <w:rPr>
          <w:b/>
          <w:bCs/>
          <w:sz w:val="26"/>
          <w:szCs w:val="26"/>
        </w:rPr>
        <w:t xml:space="preserve"> </w:t>
      </w:r>
    </w:p>
    <w:p w14:paraId="64A8DE26" w14:textId="5A64EC67" w:rsidR="00073EDA" w:rsidRPr="00073EDA" w:rsidRDefault="00073EDA" w:rsidP="00073EDA">
      <w:pPr>
        <w:rPr>
          <w:b/>
          <w:bCs/>
          <w:sz w:val="25"/>
          <w:szCs w:val="25"/>
        </w:rPr>
      </w:pPr>
      <w:r w:rsidRPr="00073EDA">
        <w:rPr>
          <w:b/>
          <w:bCs/>
          <w:sz w:val="25"/>
          <w:szCs w:val="25"/>
        </w:rPr>
        <w:t>AI-powered model discovery and process mining</w:t>
      </w:r>
    </w:p>
    <w:p w14:paraId="08EEEDE2" w14:textId="0B6138C2" w:rsidR="00073EDA" w:rsidRPr="00073EDA" w:rsidRDefault="00073EDA" w:rsidP="00073EDA">
      <w:pPr>
        <w:rPr>
          <w:sz w:val="25"/>
          <w:szCs w:val="25"/>
        </w:rPr>
      </w:pPr>
      <w:r w:rsidRPr="00073EDA">
        <w:rPr>
          <w:sz w:val="25"/>
          <w:szCs w:val="25"/>
        </w:rPr>
        <w:t>In order to speed up model validation and reveal actual execution variations that formal diagrams overlook, tools now automatically identify process models from event logs and identify deviations (Salvadorinho &amp; Teixeira, 2021). By identifying exception hotspots and proposing better flows, AI supports analysts.</w:t>
      </w:r>
    </w:p>
    <w:p w14:paraId="208F1CA8" w14:textId="6CCE04A8" w:rsidR="00073EDA" w:rsidRPr="00073EDA" w:rsidRDefault="00073EDA" w:rsidP="00073EDA">
      <w:pPr>
        <w:rPr>
          <w:b/>
          <w:bCs/>
          <w:sz w:val="25"/>
          <w:szCs w:val="25"/>
        </w:rPr>
      </w:pPr>
      <w:r w:rsidRPr="00073EDA">
        <w:rPr>
          <w:b/>
          <w:bCs/>
          <w:sz w:val="25"/>
          <w:szCs w:val="25"/>
        </w:rPr>
        <w:t>Runtime adaption and self-adaptive BPMN</w:t>
      </w:r>
    </w:p>
    <w:p w14:paraId="6B6E2512" w14:textId="2D4B0D08" w:rsidR="00073EDA" w:rsidRPr="00073EDA" w:rsidRDefault="00073EDA" w:rsidP="00073EDA">
      <w:pPr>
        <w:rPr>
          <w:sz w:val="25"/>
          <w:szCs w:val="25"/>
        </w:rPr>
      </w:pPr>
      <w:r w:rsidRPr="00073EDA">
        <w:rPr>
          <w:sz w:val="25"/>
          <w:szCs w:val="25"/>
        </w:rPr>
        <w:t>According to research on adaption engines, BPMN instances can reduce the need for manual interventions by changing their behavior at runtime to accommodate contextual changes (e.g., dynamic routing, fallback techniques) (Pillat et al., 2019). Resilience in unstable circumstances is supported by this pattern.</w:t>
      </w:r>
    </w:p>
    <w:p w14:paraId="4C392108" w14:textId="57FB83E2" w:rsidR="00073EDA" w:rsidRPr="00073EDA" w:rsidRDefault="00073EDA" w:rsidP="00073EDA">
      <w:pPr>
        <w:rPr>
          <w:b/>
          <w:bCs/>
          <w:sz w:val="25"/>
          <w:szCs w:val="25"/>
        </w:rPr>
      </w:pPr>
      <w:r w:rsidRPr="00073EDA">
        <w:rPr>
          <w:b/>
          <w:bCs/>
          <w:sz w:val="25"/>
          <w:szCs w:val="25"/>
        </w:rPr>
        <w:t>Low-code/no-code integration and RPA</w:t>
      </w:r>
    </w:p>
    <w:p w14:paraId="2D7F90D0" w14:textId="66FF5861" w:rsidR="00073EDA" w:rsidRPr="00073EDA" w:rsidRDefault="00073EDA" w:rsidP="00073EDA">
      <w:pPr>
        <w:rPr>
          <w:sz w:val="25"/>
          <w:szCs w:val="25"/>
        </w:rPr>
      </w:pPr>
      <w:r w:rsidRPr="00073EDA">
        <w:rPr>
          <w:sz w:val="25"/>
          <w:szCs w:val="25"/>
        </w:rPr>
        <w:t>A hybrid human-digital workforce is made possible by BPMN models, which increasingly coordinate RPA bots and low-code services for repetitive activities (Szelągowski &amp; Lupeikiene, 2020). While maintaining human oversight for exceptions, this lessens the manual workload.</w:t>
      </w:r>
    </w:p>
    <w:p w14:paraId="599ADEBA" w14:textId="1F1A5E39" w:rsidR="00073EDA" w:rsidRPr="00073EDA" w:rsidRDefault="00073EDA" w:rsidP="00073EDA">
      <w:pPr>
        <w:rPr>
          <w:b/>
          <w:bCs/>
          <w:sz w:val="25"/>
          <w:szCs w:val="25"/>
        </w:rPr>
      </w:pPr>
      <w:r w:rsidRPr="00073EDA">
        <w:rPr>
          <w:b/>
          <w:bCs/>
          <w:sz w:val="25"/>
          <w:szCs w:val="25"/>
        </w:rPr>
        <w:t>Digital twins, simulation, and "what-if" analysis</w:t>
      </w:r>
    </w:p>
    <w:p w14:paraId="50946124" w14:textId="255F66E7" w:rsidR="00456266" w:rsidRPr="00073EDA" w:rsidRDefault="00073EDA" w:rsidP="00073EDA">
      <w:pPr>
        <w:rPr>
          <w:sz w:val="25"/>
          <w:szCs w:val="25"/>
        </w:rPr>
      </w:pPr>
      <w:r w:rsidRPr="00073EDA">
        <w:rPr>
          <w:sz w:val="25"/>
          <w:szCs w:val="25"/>
        </w:rPr>
        <w:t>Process digital twins for capacity planning and stress testing are produced by integrating BPMN with simulation engines; these are useful in the finance industry for risk scenario testing and peak load forecasting (Cimino et al., 2025).</w:t>
      </w:r>
    </w:p>
    <w:p w14:paraId="67748FE2" w14:textId="77777777" w:rsidR="001F7304" w:rsidRPr="001F7304" w:rsidRDefault="001F7304" w:rsidP="001F7304">
      <w:pPr>
        <w:rPr>
          <w:b/>
          <w:bCs/>
          <w:sz w:val="25"/>
          <w:szCs w:val="25"/>
        </w:rPr>
      </w:pPr>
      <w:r w:rsidRPr="001F7304">
        <w:rPr>
          <w:b/>
          <w:bCs/>
          <w:sz w:val="25"/>
          <w:szCs w:val="25"/>
        </w:rPr>
        <w:t>Orchestration of microservices with cloud-native BPMS</w:t>
      </w:r>
    </w:p>
    <w:p w14:paraId="691C0FA7" w14:textId="0F1D0DDB" w:rsidR="001F7304" w:rsidRPr="001F7304" w:rsidRDefault="001F7304" w:rsidP="001F7304">
      <w:pPr>
        <w:rPr>
          <w:sz w:val="25"/>
          <w:szCs w:val="25"/>
        </w:rPr>
      </w:pPr>
      <w:r w:rsidRPr="001F7304">
        <w:rPr>
          <w:sz w:val="25"/>
          <w:szCs w:val="25"/>
        </w:rPr>
        <w:t>For geographically dispersed institutions, modern BPMS function as cloud-native platforms that provide worldwide distribution, elastic scaling, and simpler microservices integration (Oliveira et al., 2025).</w:t>
      </w:r>
    </w:p>
    <w:p w14:paraId="749167BC" w14:textId="77777777" w:rsidR="001F7304" w:rsidRPr="001F7304" w:rsidRDefault="001F7304" w:rsidP="001F7304">
      <w:pPr>
        <w:rPr>
          <w:b/>
          <w:bCs/>
          <w:sz w:val="25"/>
          <w:szCs w:val="25"/>
        </w:rPr>
      </w:pPr>
      <w:r w:rsidRPr="001F7304">
        <w:rPr>
          <w:b/>
          <w:bCs/>
          <w:sz w:val="25"/>
          <w:szCs w:val="25"/>
        </w:rPr>
        <w:t>Tamper-evident process records and blockchain</w:t>
      </w:r>
    </w:p>
    <w:p w14:paraId="4CD7C66C" w14:textId="68A93FFB" w:rsidR="001F7304" w:rsidRPr="001F7304" w:rsidRDefault="001F7304" w:rsidP="001F7304">
      <w:pPr>
        <w:rPr>
          <w:sz w:val="25"/>
          <w:szCs w:val="25"/>
        </w:rPr>
      </w:pPr>
      <w:r w:rsidRPr="001F7304">
        <w:rPr>
          <w:sz w:val="25"/>
          <w:szCs w:val="25"/>
        </w:rPr>
        <w:t>Blockchain is being tested to improve trust and streamline reconciliation through immutable audit trails and multi-party process coordination (such as cross-bank settlements).</w:t>
      </w:r>
    </w:p>
    <w:p w14:paraId="0CE403E4" w14:textId="77777777" w:rsidR="001F7304" w:rsidRPr="001F7304" w:rsidRDefault="001F7304" w:rsidP="001F7304">
      <w:pPr>
        <w:rPr>
          <w:b/>
          <w:bCs/>
          <w:sz w:val="25"/>
          <w:szCs w:val="25"/>
        </w:rPr>
      </w:pPr>
      <w:r w:rsidRPr="001F7304">
        <w:rPr>
          <w:b/>
          <w:bCs/>
          <w:sz w:val="25"/>
          <w:szCs w:val="25"/>
        </w:rPr>
        <w:t>CI/CD with Process-as-Code for BPM</w:t>
      </w:r>
    </w:p>
    <w:p w14:paraId="33FC04D1" w14:textId="40086D94" w:rsidR="00456266" w:rsidRDefault="001F7304" w:rsidP="001F7304">
      <w:pPr>
        <w:rPr>
          <w:sz w:val="25"/>
          <w:szCs w:val="25"/>
        </w:rPr>
      </w:pPr>
      <w:r w:rsidRPr="001F7304">
        <w:rPr>
          <w:sz w:val="25"/>
          <w:szCs w:val="25"/>
        </w:rPr>
        <w:t>Automated tests, verifications, and secure deployments are made possible by BPMN artifacts entering source control and CI/CD pipelines (Salvadorinho &amp; Teixeira, 2021).</w:t>
      </w:r>
    </w:p>
    <w:p w14:paraId="1E60A81A" w14:textId="2CF0913D" w:rsidR="001F7304" w:rsidRDefault="001F7304" w:rsidP="001F7304">
      <w:pPr>
        <w:pStyle w:val="Quote"/>
        <w:numPr>
          <w:ilvl w:val="0"/>
          <w:numId w:val="14"/>
        </w:numPr>
        <w:rPr>
          <w:b/>
          <w:bCs/>
          <w:sz w:val="26"/>
          <w:szCs w:val="26"/>
        </w:rPr>
      </w:pPr>
      <w:r w:rsidRPr="001F7304">
        <w:rPr>
          <w:b/>
          <w:bCs/>
          <w:sz w:val="26"/>
          <w:szCs w:val="26"/>
        </w:rPr>
        <w:t>Impact on GFS operations &amp; competitiveness</w:t>
      </w:r>
    </w:p>
    <w:p w14:paraId="6180F3D7" w14:textId="41D630AD" w:rsidR="001F7304" w:rsidRPr="001F7304" w:rsidRDefault="001F7304" w:rsidP="001F7304">
      <w:pPr>
        <w:pStyle w:val="ListParagraph"/>
        <w:numPr>
          <w:ilvl w:val="0"/>
          <w:numId w:val="15"/>
        </w:numPr>
        <w:rPr>
          <w:sz w:val="25"/>
          <w:szCs w:val="25"/>
        </w:rPr>
      </w:pPr>
      <w:r w:rsidRPr="001F7304">
        <w:rPr>
          <w:sz w:val="25"/>
          <w:szCs w:val="25"/>
        </w:rPr>
        <w:t>Operational resilience and speed: AI-driven runtime adaptation and discovery speed up compliance adjustments and lower MTTR for process issues; simulation aids in capacity planning for high transaction loads (Cimino et al., 2025).</w:t>
      </w:r>
    </w:p>
    <w:p w14:paraId="39BC0D96" w14:textId="5DE7ED31" w:rsidR="001F7304" w:rsidRPr="001F7304" w:rsidRDefault="001F7304" w:rsidP="001F7304">
      <w:pPr>
        <w:pStyle w:val="ListParagraph"/>
        <w:numPr>
          <w:ilvl w:val="0"/>
          <w:numId w:val="15"/>
        </w:numPr>
        <w:rPr>
          <w:sz w:val="25"/>
          <w:szCs w:val="25"/>
        </w:rPr>
      </w:pPr>
      <w:r w:rsidRPr="001F7304">
        <w:rPr>
          <w:sz w:val="25"/>
          <w:szCs w:val="25"/>
        </w:rPr>
        <w:t>Cost and productivity gains: RPA+BPMS orchestration frees up people for valuable tasks by lowering manual processing costs and mistake rates (Szelągowski &amp; Lupeikiene, 2020).</w:t>
      </w:r>
    </w:p>
    <w:p w14:paraId="12950854" w14:textId="07A15555" w:rsidR="001F7304" w:rsidRPr="001F7304" w:rsidRDefault="001F7304" w:rsidP="001F7304">
      <w:pPr>
        <w:pStyle w:val="ListParagraph"/>
        <w:numPr>
          <w:ilvl w:val="0"/>
          <w:numId w:val="15"/>
        </w:numPr>
        <w:rPr>
          <w:sz w:val="25"/>
          <w:szCs w:val="25"/>
        </w:rPr>
      </w:pPr>
      <w:r w:rsidRPr="001F7304">
        <w:rPr>
          <w:sz w:val="25"/>
          <w:szCs w:val="25"/>
        </w:rPr>
        <w:t>Regulatory preparedness—a competitive edge in highly regulated markets—is provided by blockchain audit trails and process-as-code, which provide verifiable change histories that regulators can use.</w:t>
      </w:r>
    </w:p>
    <w:p w14:paraId="2400A5E8" w14:textId="71AECBE8" w:rsidR="001F7304" w:rsidRDefault="001F7304" w:rsidP="001F7304">
      <w:pPr>
        <w:pStyle w:val="ListParagraph"/>
        <w:numPr>
          <w:ilvl w:val="0"/>
          <w:numId w:val="15"/>
        </w:numPr>
        <w:rPr>
          <w:sz w:val="25"/>
          <w:szCs w:val="25"/>
        </w:rPr>
      </w:pPr>
      <w:r w:rsidRPr="001F7304">
        <w:rPr>
          <w:sz w:val="25"/>
          <w:szCs w:val="25"/>
        </w:rPr>
        <w:t>Faster innovation cycles: GFS can react to product and market changes more quickly because to CI/CD for processes, which reduces the time it takes to deliver new offers (Oliveira et al., 2025).</w:t>
      </w:r>
    </w:p>
    <w:p w14:paraId="59D16C54" w14:textId="50428273" w:rsidR="004A5603" w:rsidRDefault="004A5603" w:rsidP="004A5603">
      <w:pPr>
        <w:pStyle w:val="Quote"/>
        <w:rPr>
          <w:sz w:val="24"/>
          <w:szCs w:val="24"/>
        </w:rPr>
      </w:pPr>
      <w:r w:rsidRPr="004A5603">
        <w:rPr>
          <w:sz w:val="24"/>
          <w:szCs w:val="24"/>
        </w:rPr>
        <w:t>Oukharijane et al. (2019) claim that these tendencies turn BPMN from documentation into a differentiator that lowers costs, improves time-to-market, and lowers risk.</w:t>
      </w:r>
      <w:r w:rsidRPr="004A5603">
        <w:rPr>
          <w:sz w:val="24"/>
          <w:szCs w:val="24"/>
        </w:rPr>
        <w:t xml:space="preserve"> </w:t>
      </w:r>
    </w:p>
    <w:p w14:paraId="22935CE1" w14:textId="69406F8C" w:rsidR="004A5603" w:rsidRDefault="004A5603" w:rsidP="004A5603">
      <w:pPr>
        <w:pStyle w:val="Quote"/>
        <w:numPr>
          <w:ilvl w:val="0"/>
          <w:numId w:val="14"/>
        </w:numPr>
        <w:rPr>
          <w:b/>
          <w:bCs/>
          <w:sz w:val="26"/>
          <w:szCs w:val="26"/>
        </w:rPr>
      </w:pPr>
      <w:r w:rsidRPr="004A5603">
        <w:rPr>
          <w:b/>
          <w:bCs/>
          <w:sz w:val="26"/>
          <w:szCs w:val="26"/>
        </w:rPr>
        <w:t>Strategic recommendations for GFS</w:t>
      </w:r>
    </w:p>
    <w:p w14:paraId="158D4FC0" w14:textId="7BDF65B2" w:rsidR="004A5603" w:rsidRPr="00450DC5" w:rsidRDefault="004A5603" w:rsidP="004A5603">
      <w:pPr>
        <w:rPr>
          <w:b/>
          <w:bCs/>
          <w:sz w:val="25"/>
          <w:szCs w:val="25"/>
        </w:rPr>
      </w:pPr>
      <w:r w:rsidRPr="004A5603">
        <w:rPr>
          <w:b/>
          <w:bCs/>
          <w:sz w:val="25"/>
          <w:szCs w:val="25"/>
        </w:rPr>
        <w:t>Adopt a roadmap that prioritizes experimentation.</w:t>
      </w:r>
    </w:p>
    <w:p w14:paraId="510682E1" w14:textId="444D4CA2" w:rsidR="004A5603" w:rsidRPr="004A5603" w:rsidRDefault="004A5603" w:rsidP="004A5603">
      <w:pPr>
        <w:rPr>
          <w:sz w:val="25"/>
          <w:szCs w:val="25"/>
        </w:rPr>
      </w:pPr>
      <w:r w:rsidRPr="004A5603">
        <w:rPr>
          <w:sz w:val="25"/>
          <w:szCs w:val="25"/>
        </w:rPr>
        <w:t>Before advancing to client-facing processes, test AI process mining and runtime adaptation on a medium-risk process (such as internal reconciliations) to demonstrate advantages and improve governance (Salvadorinho &amp; Teixeira, 2021).</w:t>
      </w:r>
    </w:p>
    <w:p w14:paraId="511C623E" w14:textId="6481BD23" w:rsidR="004A5603" w:rsidRPr="00450DC5" w:rsidRDefault="004A5603" w:rsidP="004A5603">
      <w:pPr>
        <w:rPr>
          <w:b/>
          <w:bCs/>
          <w:sz w:val="25"/>
          <w:szCs w:val="25"/>
        </w:rPr>
      </w:pPr>
      <w:r w:rsidRPr="004A5603">
        <w:rPr>
          <w:b/>
          <w:bCs/>
          <w:sz w:val="25"/>
          <w:szCs w:val="25"/>
        </w:rPr>
        <w:t>Invest in an open-integration, cloud-native BPMS.</w:t>
      </w:r>
    </w:p>
    <w:p w14:paraId="006838B3" w14:textId="11E1E3C7" w:rsidR="004A5603" w:rsidRPr="004A5603" w:rsidRDefault="004A5603" w:rsidP="004A5603">
      <w:pPr>
        <w:rPr>
          <w:sz w:val="25"/>
          <w:szCs w:val="25"/>
        </w:rPr>
      </w:pPr>
      <w:r w:rsidRPr="004A5603">
        <w:rPr>
          <w:sz w:val="25"/>
          <w:szCs w:val="25"/>
        </w:rPr>
        <w:t>To prevent vendor lock-in, choose platforms that provide SDKs for CI/CD pipelines, native support for microservices, and RPA orchestration (Oliveira et al., 2025).</w:t>
      </w:r>
    </w:p>
    <w:p w14:paraId="63C2130F" w14:textId="6EDC3B75" w:rsidR="004A5603" w:rsidRPr="004A5603" w:rsidRDefault="004A5603" w:rsidP="004A5603">
      <w:pPr>
        <w:rPr>
          <w:b/>
          <w:bCs/>
          <w:sz w:val="25"/>
          <w:szCs w:val="25"/>
        </w:rPr>
      </w:pPr>
      <w:r w:rsidRPr="004A5603">
        <w:rPr>
          <w:b/>
          <w:bCs/>
          <w:sz w:val="25"/>
          <w:szCs w:val="25"/>
        </w:rPr>
        <w:t>Establish a practice called "processops" (Process + DevOps).</w:t>
      </w:r>
    </w:p>
    <w:p w14:paraId="76D9FB3B" w14:textId="05C4ED9C" w:rsidR="004A5603" w:rsidRPr="004A5603" w:rsidRDefault="004A5603" w:rsidP="004A5603">
      <w:pPr>
        <w:rPr>
          <w:sz w:val="25"/>
          <w:szCs w:val="25"/>
        </w:rPr>
      </w:pPr>
      <w:r w:rsidRPr="004A5603">
        <w:rPr>
          <w:sz w:val="25"/>
          <w:szCs w:val="25"/>
        </w:rPr>
        <w:t>Use process-as-code with automated test suites and create teams that are in charge of process pipelines (model, test, deploy, and monitor) with automated verification and rollback processes (Cimino et al., 2025).</w:t>
      </w:r>
    </w:p>
    <w:p w14:paraId="340351EE" w14:textId="2BA576A2" w:rsidR="004A5603" w:rsidRPr="004A5603" w:rsidRDefault="004A5603" w:rsidP="004A5603">
      <w:pPr>
        <w:rPr>
          <w:b/>
          <w:bCs/>
          <w:sz w:val="25"/>
          <w:szCs w:val="25"/>
        </w:rPr>
      </w:pPr>
      <w:r w:rsidRPr="004A5603">
        <w:rPr>
          <w:b/>
          <w:bCs/>
          <w:sz w:val="25"/>
          <w:szCs w:val="25"/>
        </w:rPr>
        <w:t>Integrate runtime compliance</w:t>
      </w:r>
    </w:p>
    <w:p w14:paraId="7E6AF81D" w14:textId="6041E332" w:rsidR="004A5603" w:rsidRDefault="004A5603" w:rsidP="004A5603">
      <w:pPr>
        <w:rPr>
          <w:sz w:val="25"/>
          <w:szCs w:val="25"/>
        </w:rPr>
      </w:pPr>
      <w:r w:rsidRPr="004A5603">
        <w:rPr>
          <w:sz w:val="25"/>
          <w:szCs w:val="25"/>
        </w:rPr>
        <w:t>To automate regulatory checks and reporting, use lifecycle compliance frameworks and tamper-evident logging (such as blockchain or signed ledger) (Szelągowski &amp; Lupeikiene, 2020).</w:t>
      </w:r>
    </w:p>
    <w:p w14:paraId="3A00DD5D" w14:textId="77777777" w:rsidR="00450DC5" w:rsidRPr="00450DC5" w:rsidRDefault="00450DC5" w:rsidP="00450DC5">
      <w:pPr>
        <w:rPr>
          <w:b/>
          <w:bCs/>
          <w:sz w:val="25"/>
          <w:szCs w:val="25"/>
        </w:rPr>
      </w:pPr>
      <w:r w:rsidRPr="00450DC5">
        <w:rPr>
          <w:b/>
          <w:bCs/>
          <w:sz w:val="25"/>
          <w:szCs w:val="25"/>
        </w:rPr>
        <w:t>Phased use of RPA and human-in-the-loop</w:t>
      </w:r>
    </w:p>
    <w:p w14:paraId="7F330E4B" w14:textId="6EB8CE3A" w:rsidR="00450DC5" w:rsidRPr="00450DC5" w:rsidRDefault="00450DC5" w:rsidP="00450DC5">
      <w:pPr>
        <w:rPr>
          <w:sz w:val="25"/>
          <w:szCs w:val="25"/>
        </w:rPr>
      </w:pPr>
      <w:r w:rsidRPr="00450DC5">
        <w:rPr>
          <w:sz w:val="25"/>
          <w:szCs w:val="25"/>
        </w:rPr>
        <w:t>Make sure exception queues and escalation flows are well specified, and orchestrate RPA bots from BPMN models while maintaining visibility into human decision-making duties (Pillat et al., 2019).</w:t>
      </w:r>
    </w:p>
    <w:p w14:paraId="64B84A28" w14:textId="77777777" w:rsidR="00450DC5" w:rsidRPr="00450DC5" w:rsidRDefault="00450DC5" w:rsidP="00450DC5">
      <w:pPr>
        <w:rPr>
          <w:b/>
          <w:bCs/>
          <w:sz w:val="25"/>
          <w:szCs w:val="25"/>
        </w:rPr>
      </w:pPr>
      <w:r w:rsidRPr="00450DC5">
        <w:rPr>
          <w:b/>
          <w:bCs/>
          <w:sz w:val="25"/>
          <w:szCs w:val="25"/>
        </w:rPr>
        <w:t>Improve your AI and model verification skills.</w:t>
      </w:r>
    </w:p>
    <w:p w14:paraId="17DE8E99" w14:textId="598C1970" w:rsidR="00450DC5" w:rsidRPr="00450DC5" w:rsidRDefault="00450DC5" w:rsidP="00450DC5">
      <w:pPr>
        <w:rPr>
          <w:sz w:val="25"/>
          <w:szCs w:val="25"/>
        </w:rPr>
      </w:pPr>
      <w:r w:rsidRPr="00450DC5">
        <w:rPr>
          <w:sz w:val="25"/>
          <w:szCs w:val="25"/>
        </w:rPr>
        <w:t>To ensure that models are both data-driven and technically sound, analysts should be trained in the interpretation of process-mining results as well as formal verification techniques (Arévalo et al., 2016; Pillat et al., 2019).</w:t>
      </w:r>
    </w:p>
    <w:p w14:paraId="50114598" w14:textId="77777777" w:rsidR="00450DC5" w:rsidRPr="00450DC5" w:rsidRDefault="00450DC5" w:rsidP="00450DC5">
      <w:pPr>
        <w:rPr>
          <w:b/>
          <w:bCs/>
          <w:sz w:val="25"/>
          <w:szCs w:val="25"/>
        </w:rPr>
      </w:pPr>
      <w:r w:rsidRPr="00450DC5">
        <w:rPr>
          <w:b/>
          <w:bCs/>
          <w:sz w:val="25"/>
          <w:szCs w:val="25"/>
        </w:rPr>
        <w:t>KPIs and Emergent Technology Governance</w:t>
      </w:r>
    </w:p>
    <w:p w14:paraId="5AB5DC30" w14:textId="41A7B308" w:rsidR="00450DC5" w:rsidRPr="004A5603" w:rsidRDefault="00450DC5" w:rsidP="00450DC5">
      <w:pPr>
        <w:rPr>
          <w:sz w:val="25"/>
          <w:szCs w:val="25"/>
        </w:rPr>
      </w:pPr>
      <w:r w:rsidRPr="00450DC5">
        <w:rPr>
          <w:sz w:val="25"/>
          <w:szCs w:val="25"/>
        </w:rPr>
        <w:t>Monitor KPIs like cost-per-transaction, model drift, and automated resolution rate; modify governance to incorporate AI model validation and retraining cycles.</w:t>
      </w:r>
    </w:p>
    <w:p w14:paraId="6804479E" w14:textId="77777777" w:rsidR="004A5603" w:rsidRPr="004A5603" w:rsidRDefault="004A5603" w:rsidP="004A5603"/>
    <w:p w14:paraId="0BF9A490" w14:textId="590C7379" w:rsidR="00456266" w:rsidRDefault="00456266" w:rsidP="00456266">
      <w:pPr>
        <w:pStyle w:val="Quote"/>
        <w:rPr>
          <w:b/>
          <w:bCs/>
          <w:sz w:val="28"/>
          <w:szCs w:val="28"/>
        </w:rPr>
      </w:pPr>
      <w:r w:rsidRPr="00456266">
        <w:rPr>
          <w:b/>
          <w:bCs/>
          <w:sz w:val="28"/>
          <w:szCs w:val="28"/>
        </w:rPr>
        <w:t>Question 4</w:t>
      </w:r>
    </w:p>
    <w:p w14:paraId="4DB6D72D" w14:textId="7D77BBBF" w:rsidR="00456266" w:rsidRDefault="00456266" w:rsidP="008C054F">
      <w:pPr>
        <w:pStyle w:val="Quote"/>
        <w:numPr>
          <w:ilvl w:val="0"/>
          <w:numId w:val="17"/>
        </w:numPr>
      </w:pPr>
    </w:p>
    <w:p w14:paraId="7953AE97" w14:textId="21D2B053" w:rsidR="00456266" w:rsidRDefault="00995D9D" w:rsidP="00456266">
      <w:r>
        <w:rPr>
          <w:noProof/>
        </w:rPr>
        <w:drawing>
          <wp:inline distT="0" distB="0" distL="0" distR="0" wp14:anchorId="009E87C1" wp14:editId="5C6C6627">
            <wp:extent cx="8011643" cy="4572638"/>
            <wp:effectExtent l="19050" t="0" r="27940" b="129476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5">
                      <a:extLst>
                        <a:ext uri="{28A0092B-C50C-407E-A947-70E740481C1C}">
                          <a14:useLocalDpi xmlns:a14="http://schemas.microsoft.com/office/drawing/2010/main" val="0"/>
                        </a:ext>
                      </a:extLst>
                    </a:blip>
                    <a:stretch>
                      <a:fillRect/>
                    </a:stretch>
                  </pic:blipFill>
                  <pic:spPr>
                    <a:xfrm>
                      <a:off x="0" y="0"/>
                      <a:ext cx="8011643" cy="4572638"/>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inline>
        </w:drawing>
      </w:r>
    </w:p>
    <w:p w14:paraId="2AC315A7" w14:textId="77777777" w:rsidR="00995D9D" w:rsidRDefault="00995D9D" w:rsidP="00456266"/>
    <w:p w14:paraId="02F4963F" w14:textId="3355ADF5" w:rsidR="00C479FD" w:rsidRDefault="00C479FD" w:rsidP="00C479FD">
      <w:pPr>
        <w:pStyle w:val="Quote"/>
        <w:rPr>
          <w:b/>
          <w:bCs/>
          <w:sz w:val="26"/>
          <w:szCs w:val="26"/>
        </w:rPr>
      </w:pPr>
      <w:r w:rsidRPr="00C479FD">
        <w:rPr>
          <w:b/>
          <w:bCs/>
          <w:sz w:val="26"/>
          <w:szCs w:val="26"/>
        </w:rPr>
        <w:t xml:space="preserve">(B) </w:t>
      </w:r>
      <w:r w:rsidRPr="00C479FD">
        <w:rPr>
          <w:b/>
          <w:bCs/>
          <w:sz w:val="26"/>
          <w:szCs w:val="26"/>
        </w:rPr>
        <w:t>Identification of Process Issues</w:t>
      </w:r>
    </w:p>
    <w:p w14:paraId="29E39BD2" w14:textId="5E58D81E" w:rsidR="00C479FD" w:rsidRPr="00765A53" w:rsidRDefault="00C479FD" w:rsidP="00C479FD">
      <w:pPr>
        <w:rPr>
          <w:sz w:val="25"/>
          <w:szCs w:val="25"/>
        </w:rPr>
      </w:pPr>
      <w:r w:rsidRPr="00765A53">
        <w:rPr>
          <w:sz w:val="25"/>
          <w:szCs w:val="25"/>
        </w:rPr>
        <w:t>Global Financial Services' (GFS) present As-Is BPMN model identifies a number of operational inefficiencies brought on by disjointed workflows and manual relationships between divisions. These problems lead to lower client satisfaction, more expenses, and delays in the process.</w:t>
      </w:r>
    </w:p>
    <w:p w14:paraId="1BDD83E9" w14:textId="77777777" w:rsidR="00C479FD" w:rsidRPr="00765A53" w:rsidRDefault="00C479FD" w:rsidP="00C479FD">
      <w:pPr>
        <w:rPr>
          <w:b/>
          <w:bCs/>
          <w:sz w:val="25"/>
          <w:szCs w:val="25"/>
        </w:rPr>
      </w:pPr>
      <w:r w:rsidRPr="00765A53">
        <w:rPr>
          <w:b/>
          <w:bCs/>
          <w:sz w:val="25"/>
          <w:szCs w:val="25"/>
        </w:rPr>
        <w:t>1. Absence of Real-Time Data Sharing and Process Integration</w:t>
      </w:r>
    </w:p>
    <w:p w14:paraId="78FF54B6" w14:textId="5B53FA2A" w:rsidR="00C479FD" w:rsidRPr="00765A53" w:rsidRDefault="00C479FD" w:rsidP="00C479FD">
      <w:pPr>
        <w:rPr>
          <w:sz w:val="25"/>
          <w:szCs w:val="25"/>
        </w:rPr>
      </w:pPr>
      <w:r w:rsidRPr="00765A53">
        <w:rPr>
          <w:sz w:val="25"/>
          <w:szCs w:val="25"/>
        </w:rPr>
        <w:t>The lack of smooth data integration between the finance, warehouse, and customer service divisions is one of the biggest inefficiencies. For example, manual message flows are used to communicate payment confirmations and stock updates, which increases the possibility of miscommunication or data inconsistencies. According to Mariya et al. (2024), information silos caused by non-integrated BPMN systems slow down decision-making and decrease process agility in general. Order fulfillment is delayed at GFS as a result of this problem, and it is challenging to monitor stock availability in real time.</w:t>
      </w:r>
    </w:p>
    <w:p w14:paraId="450CE6CF" w14:textId="2F7757A5" w:rsidR="00765A53" w:rsidRPr="00765A53" w:rsidRDefault="00765A53" w:rsidP="00765A53">
      <w:pPr>
        <w:pStyle w:val="ListParagraph"/>
        <w:numPr>
          <w:ilvl w:val="0"/>
          <w:numId w:val="2"/>
        </w:numPr>
        <w:rPr>
          <w:b/>
          <w:bCs/>
          <w:sz w:val="25"/>
          <w:szCs w:val="25"/>
        </w:rPr>
      </w:pPr>
      <w:r w:rsidRPr="00765A53">
        <w:rPr>
          <w:b/>
          <w:bCs/>
          <w:sz w:val="25"/>
          <w:szCs w:val="25"/>
        </w:rPr>
        <w:t>Limited Automation and Manual Payment Validation</w:t>
      </w:r>
    </w:p>
    <w:p w14:paraId="4D26FED5" w14:textId="77777777" w:rsidR="00765A53" w:rsidRDefault="00765A53" w:rsidP="00765A53">
      <w:pPr>
        <w:rPr>
          <w:sz w:val="25"/>
          <w:szCs w:val="25"/>
        </w:rPr>
      </w:pPr>
      <w:r w:rsidRPr="00765A53">
        <w:rPr>
          <w:sz w:val="25"/>
          <w:szCs w:val="25"/>
        </w:rPr>
        <w:t>After Customer Service sends the order details, Finance currently handles payment validation by hand. In addition to lengthening response times, this raises the possibility of fraud and human mistake. According to Chang (2016), one of the most frequent obstacles in conventional BPMN implementations is manual finance operations, which jeopardize process visibility and efficiency. Straight-through processing, a crucial indicator of BPM maturity, is impossible for GFS to accomplish without automated financial validation.</w:t>
      </w:r>
    </w:p>
    <w:p w14:paraId="29FE28D1" w14:textId="40DA6099" w:rsidR="00765A53" w:rsidRPr="00765A53" w:rsidRDefault="00765A53" w:rsidP="00765A53">
      <w:pPr>
        <w:pStyle w:val="ListParagraph"/>
        <w:numPr>
          <w:ilvl w:val="0"/>
          <w:numId w:val="2"/>
        </w:numPr>
        <w:rPr>
          <w:b/>
          <w:bCs/>
          <w:sz w:val="25"/>
          <w:szCs w:val="25"/>
        </w:rPr>
      </w:pPr>
      <w:r w:rsidRPr="00765A53">
        <w:rPr>
          <w:b/>
          <w:bCs/>
          <w:sz w:val="25"/>
          <w:szCs w:val="25"/>
        </w:rPr>
        <w:t>Inadequate Exception Management Systems</w:t>
      </w:r>
    </w:p>
    <w:p w14:paraId="782F6B9A" w14:textId="33FFECCF" w:rsidR="00765A53" w:rsidRPr="00765A53" w:rsidRDefault="00765A53" w:rsidP="00765A53">
      <w:pPr>
        <w:rPr>
          <w:sz w:val="25"/>
          <w:szCs w:val="25"/>
        </w:rPr>
      </w:pPr>
      <w:r w:rsidRPr="00765A53">
        <w:rPr>
          <w:sz w:val="25"/>
          <w:szCs w:val="25"/>
        </w:rPr>
        <w:t>The As-Is model demonstrates that exception flows—such as unsuccessful payments, unavailable stock, or delayed deliveries—are reactive as opposed to proactive. To inform customers and internal teams about problems, the company mostly depends on customer service. In BPMN models, the absence of automatic exception detection results in rework, lost service time, and a worse customer experience (Lopes and Guerreiro, 2023). Due to delayed notifications and uneven refund processing, GFS is vulnerable to monetary losses and harm to its reputation as a result of these lax procedures.</w:t>
      </w:r>
    </w:p>
    <w:p w14:paraId="66E7A544" w14:textId="7C2C9EDB" w:rsidR="00765A53" w:rsidRDefault="00765A53" w:rsidP="00765A53">
      <w:pPr>
        <w:rPr>
          <w:sz w:val="25"/>
          <w:szCs w:val="25"/>
        </w:rPr>
      </w:pPr>
      <w:r w:rsidRPr="00765A53">
        <w:rPr>
          <w:sz w:val="25"/>
          <w:szCs w:val="25"/>
        </w:rPr>
        <w:t>In conclusion, GFS's As-Is process suffers from inadequate integration, manual interventions, and a lack of automation in managing exceptions. These issues cause operations to lag and lead to inefficiencies in an otherwise simple order fulfillment cycle.</w:t>
      </w:r>
    </w:p>
    <w:p w14:paraId="56D739B5" w14:textId="2C6A81CB" w:rsidR="00765A53" w:rsidRDefault="00765A53" w:rsidP="00765A53">
      <w:pPr>
        <w:pStyle w:val="Quote"/>
        <w:numPr>
          <w:ilvl w:val="0"/>
          <w:numId w:val="14"/>
        </w:numPr>
        <w:rPr>
          <w:b/>
          <w:bCs/>
          <w:sz w:val="26"/>
          <w:szCs w:val="26"/>
        </w:rPr>
      </w:pPr>
      <w:r w:rsidRPr="00765A53">
        <w:rPr>
          <w:b/>
          <w:bCs/>
          <w:sz w:val="26"/>
          <w:szCs w:val="26"/>
        </w:rPr>
        <w:t>Recommendations and Process Improvements</w:t>
      </w:r>
    </w:p>
    <w:p w14:paraId="3DBC0CBD" w14:textId="3DB487D5" w:rsidR="00F21572" w:rsidRPr="00F21572" w:rsidRDefault="00F21572" w:rsidP="00F21572">
      <w:pPr>
        <w:rPr>
          <w:sz w:val="25"/>
          <w:szCs w:val="25"/>
        </w:rPr>
      </w:pPr>
      <w:r w:rsidRPr="00F21572">
        <w:rPr>
          <w:sz w:val="25"/>
          <w:szCs w:val="25"/>
        </w:rPr>
        <w:t>In line with BPMN 2.0 standards and best practices in process management, GFS's To-Be BPMN model should prioritize digital transformation, automation, and adaptive process governance to address these inefficiencies.</w:t>
      </w:r>
    </w:p>
    <w:p w14:paraId="7241819A" w14:textId="77777777" w:rsidR="00F21572" w:rsidRPr="00F21572" w:rsidRDefault="00F21572" w:rsidP="00F21572">
      <w:pPr>
        <w:rPr>
          <w:b/>
          <w:bCs/>
          <w:sz w:val="25"/>
          <w:szCs w:val="25"/>
        </w:rPr>
      </w:pPr>
      <w:r w:rsidRPr="00F21572">
        <w:rPr>
          <w:b/>
          <w:bCs/>
          <w:sz w:val="25"/>
          <w:szCs w:val="25"/>
        </w:rPr>
        <w:t>1. Connect Systems to Synchronize Processes in Real Time</w:t>
      </w:r>
    </w:p>
    <w:p w14:paraId="0D02231D" w14:textId="51CBD949" w:rsidR="00765A53" w:rsidRDefault="00F21572" w:rsidP="00F21572">
      <w:pPr>
        <w:rPr>
          <w:sz w:val="25"/>
          <w:szCs w:val="25"/>
        </w:rPr>
      </w:pPr>
      <w:r w:rsidRPr="00F21572">
        <w:rPr>
          <w:sz w:val="25"/>
          <w:szCs w:val="25"/>
        </w:rPr>
        <w:t>GFS ought to put in place a centralized BPMN execution engine that uses real-time APIs to link the finance, warehouse, and customer service systems. Live data exchange and immediate process changes are made possible by connecting BPMN with cloud-based platforms, as stressed by Szelągowski and Lupeikiene (2020). By doing this, unnecessary message flows will be removed, and departmental synchronization of payment, inventory, and customer updates will be guaranteed.</w:t>
      </w:r>
    </w:p>
    <w:p w14:paraId="077D3C05" w14:textId="3A29A767" w:rsidR="00E4197E" w:rsidRPr="008C054F" w:rsidRDefault="00E4197E" w:rsidP="00E4197E">
      <w:pPr>
        <w:rPr>
          <w:b/>
          <w:bCs/>
          <w:sz w:val="25"/>
          <w:szCs w:val="25"/>
        </w:rPr>
      </w:pPr>
      <w:r w:rsidRPr="008C054F">
        <w:rPr>
          <w:b/>
          <w:bCs/>
          <w:sz w:val="25"/>
          <w:szCs w:val="25"/>
        </w:rPr>
        <w:t>2. Automate Inventory and Payment Processes</w:t>
      </w:r>
    </w:p>
    <w:p w14:paraId="0B44F40C" w14:textId="598463A5" w:rsidR="00E4197E" w:rsidRPr="00E4197E" w:rsidRDefault="00E4197E" w:rsidP="00E4197E">
      <w:pPr>
        <w:rPr>
          <w:sz w:val="25"/>
          <w:szCs w:val="25"/>
        </w:rPr>
      </w:pPr>
      <w:r w:rsidRPr="00E4197E">
        <w:rPr>
          <w:sz w:val="25"/>
          <w:szCs w:val="25"/>
        </w:rPr>
        <w:t xml:space="preserve">AI-assisted payment validation should be implemented by the finance department, enabling automated fraud identification and verification through specified BPMN service activities. Likewise, automated stock-checking scripts connected to the BPMN model can be implemented by warehouse operations. According to Oliveira et al. (2025), businesses can cut transaction times by more than 40% while lowering human error rates by incorporating RPA (Robotic Process Automation) into BPMN frameworks. </w:t>
      </w:r>
    </w:p>
    <w:p w14:paraId="6F532A80" w14:textId="77777777" w:rsidR="00E4197E" w:rsidRPr="008C054F" w:rsidRDefault="00E4197E" w:rsidP="00E4197E">
      <w:pPr>
        <w:rPr>
          <w:b/>
          <w:bCs/>
          <w:sz w:val="25"/>
          <w:szCs w:val="25"/>
        </w:rPr>
      </w:pPr>
      <w:r w:rsidRPr="008C054F">
        <w:rPr>
          <w:b/>
          <w:bCs/>
          <w:sz w:val="25"/>
          <w:szCs w:val="25"/>
        </w:rPr>
        <w:t>3. Put Predictive Alerts and Exception Handling into Practice</w:t>
      </w:r>
    </w:p>
    <w:p w14:paraId="145B965F" w14:textId="46EF9725" w:rsidR="00F21572" w:rsidRDefault="00E4197E" w:rsidP="00E4197E">
      <w:pPr>
        <w:rPr>
          <w:sz w:val="25"/>
          <w:szCs w:val="25"/>
        </w:rPr>
      </w:pPr>
      <w:r w:rsidRPr="00E4197E">
        <w:rPr>
          <w:sz w:val="25"/>
          <w:szCs w:val="25"/>
        </w:rPr>
        <w:t>Automated exception-handling subprocesses that sound an alarm before an error happens should be established by GFS. For instance, the BPMN system immediately signals the problem and reroutes the process for approval or replenishment if stock levels drop below a predetermined threshold. According to Lopes and Guerreiro (2023), ongoing process reliability is ensured by integrating intelligent exception management into BPMN models.</w:t>
      </w:r>
    </w:p>
    <w:p w14:paraId="4EA45556" w14:textId="77777777" w:rsidR="008C054F" w:rsidRPr="008C054F" w:rsidRDefault="008C054F" w:rsidP="008C054F">
      <w:pPr>
        <w:rPr>
          <w:b/>
          <w:bCs/>
          <w:sz w:val="25"/>
          <w:szCs w:val="25"/>
        </w:rPr>
      </w:pPr>
      <w:r w:rsidRPr="008C054F">
        <w:rPr>
          <w:b/>
          <w:bCs/>
          <w:sz w:val="25"/>
          <w:szCs w:val="25"/>
        </w:rPr>
        <w:t>4. Use BPM Governance to Establish Continuous Improvement</w:t>
      </w:r>
    </w:p>
    <w:p w14:paraId="448F82A9" w14:textId="677A43C7" w:rsidR="008C054F" w:rsidRPr="008C054F" w:rsidRDefault="008C054F" w:rsidP="008C054F">
      <w:pPr>
        <w:rPr>
          <w:sz w:val="25"/>
          <w:szCs w:val="25"/>
        </w:rPr>
      </w:pPr>
      <w:r w:rsidRPr="008C054F">
        <w:rPr>
          <w:sz w:val="25"/>
          <w:szCs w:val="25"/>
        </w:rPr>
        <w:t>Lastly, GFS ought to put in place a BPMN governance system that keeps an eye on performance indicators including customer satisfaction ratings, payment success rates, and turnaround times. According to Mariya et al. (2024), implementing BPM governance guarantees departmental uniformity, flexibility, and strategic alignment. Continuous innovation and improvement would be maintained via routine process audits and reviews.</w:t>
      </w:r>
    </w:p>
    <w:p w14:paraId="708636FD" w14:textId="509461D7" w:rsidR="008C054F" w:rsidRPr="00F21572" w:rsidRDefault="008C054F" w:rsidP="008C054F">
      <w:pPr>
        <w:rPr>
          <w:sz w:val="25"/>
          <w:szCs w:val="25"/>
        </w:rPr>
      </w:pPr>
      <w:r w:rsidRPr="008C054F">
        <w:rPr>
          <w:sz w:val="25"/>
          <w:szCs w:val="25"/>
        </w:rPr>
        <w:t>With the help of these tactical enhancements, GFS's To-Be model would transform from a manual, reactive workflow to an automated, digitally connected, and flexible business process ecosystem that can produce results that are quicker, more accurate, and focused on the needs of the client.</w:t>
      </w:r>
    </w:p>
    <w:p w14:paraId="4EBBEF99" w14:textId="568DF0DC" w:rsidR="00456266" w:rsidRDefault="00456266" w:rsidP="00456266">
      <w:pPr>
        <w:pStyle w:val="IntenseQuote"/>
        <w:rPr>
          <w:b/>
          <w:bCs/>
          <w:sz w:val="28"/>
          <w:szCs w:val="28"/>
        </w:rPr>
      </w:pPr>
      <w:r w:rsidRPr="00456266">
        <w:rPr>
          <w:b/>
          <w:bCs/>
          <w:sz w:val="28"/>
          <w:szCs w:val="28"/>
        </w:rPr>
        <w:t>Reference List</w:t>
      </w:r>
    </w:p>
    <w:p w14:paraId="3D21573B" w14:textId="7C056100" w:rsidR="003162FF" w:rsidRPr="003162FF" w:rsidRDefault="003162FF" w:rsidP="003162FF">
      <w:pPr>
        <w:pStyle w:val="ListParagraph"/>
        <w:numPr>
          <w:ilvl w:val="0"/>
          <w:numId w:val="5"/>
        </w:numPr>
        <w:rPr>
          <w:sz w:val="25"/>
          <w:szCs w:val="25"/>
        </w:rPr>
      </w:pPr>
      <w:r w:rsidRPr="003162FF">
        <w:rPr>
          <w:sz w:val="25"/>
          <w:szCs w:val="25"/>
        </w:rPr>
        <w:t xml:space="preserve">Hashmi, M., Governatori, G., Lam, H.P., et al., 2018. </w:t>
      </w:r>
      <w:r w:rsidRPr="003162FF">
        <w:rPr>
          <w:i/>
          <w:iCs/>
          <w:sz w:val="25"/>
          <w:szCs w:val="25"/>
        </w:rPr>
        <w:t xml:space="preserve">Are we done with business process compliance: state of the art and challenges </w:t>
      </w:r>
      <w:proofErr w:type="gramStart"/>
      <w:r w:rsidRPr="003162FF">
        <w:rPr>
          <w:i/>
          <w:iCs/>
          <w:sz w:val="25"/>
          <w:szCs w:val="25"/>
        </w:rPr>
        <w:t>ahead.</w:t>
      </w:r>
      <w:proofErr w:type="gramEnd"/>
      <w:r w:rsidRPr="003162FF">
        <w:rPr>
          <w:sz w:val="25"/>
          <w:szCs w:val="25"/>
        </w:rPr>
        <w:t xml:space="preserve"> Knowledge and Information Systems. Available at: </w:t>
      </w:r>
      <w:hyperlink r:id="rId6" w:tgtFrame="_new" w:history="1">
        <w:r w:rsidRPr="003162FF">
          <w:rPr>
            <w:rStyle w:val="Hyperlink"/>
            <w:sz w:val="25"/>
            <w:szCs w:val="25"/>
          </w:rPr>
          <w:t>https://link.springer.com</w:t>
        </w:r>
      </w:hyperlink>
      <w:r w:rsidRPr="003162FF">
        <w:rPr>
          <w:sz w:val="25"/>
          <w:szCs w:val="25"/>
        </w:rPr>
        <w:t xml:space="preserve"> [Accessed 31 Oct 2025].</w:t>
      </w:r>
    </w:p>
    <w:p w14:paraId="431C4528" w14:textId="1D838E3E" w:rsidR="003162FF" w:rsidRPr="003162FF" w:rsidRDefault="003162FF" w:rsidP="003162FF">
      <w:pPr>
        <w:pStyle w:val="ListParagraph"/>
        <w:numPr>
          <w:ilvl w:val="0"/>
          <w:numId w:val="5"/>
        </w:numPr>
        <w:rPr>
          <w:sz w:val="25"/>
          <w:szCs w:val="25"/>
        </w:rPr>
      </w:pPr>
      <w:r w:rsidRPr="003162FF">
        <w:rPr>
          <w:sz w:val="25"/>
          <w:szCs w:val="25"/>
        </w:rPr>
        <w:t xml:space="preserve">Koops, M.N.M.M., Turetken, O., et al., 2016. </w:t>
      </w:r>
      <w:r w:rsidRPr="003162FF">
        <w:rPr>
          <w:i/>
          <w:iCs/>
          <w:sz w:val="25"/>
          <w:szCs w:val="25"/>
        </w:rPr>
        <w:t>The impact of BPMS implementation on Business Process (Management) Maturity: A nested case study in an international financial institution.</w:t>
      </w:r>
      <w:r w:rsidRPr="003162FF">
        <w:rPr>
          <w:sz w:val="25"/>
          <w:szCs w:val="25"/>
        </w:rPr>
        <w:t xml:space="preserve"> TU/e Research. Available at: </w:t>
      </w:r>
      <w:hyperlink r:id="rId7" w:tgtFrame="_new" w:history="1">
        <w:r w:rsidRPr="003162FF">
          <w:rPr>
            <w:rStyle w:val="Hyperlink"/>
            <w:sz w:val="25"/>
            <w:szCs w:val="25"/>
          </w:rPr>
          <w:t>https://research.tue.nl</w:t>
        </w:r>
      </w:hyperlink>
      <w:r w:rsidRPr="003162FF">
        <w:rPr>
          <w:sz w:val="25"/>
          <w:szCs w:val="25"/>
        </w:rPr>
        <w:t xml:space="preserve"> [Accessed 31 Oct 2025].</w:t>
      </w:r>
    </w:p>
    <w:p w14:paraId="2E95D764" w14:textId="597456CD" w:rsidR="003162FF" w:rsidRPr="003162FF" w:rsidRDefault="003162FF" w:rsidP="003162FF">
      <w:pPr>
        <w:pStyle w:val="ListParagraph"/>
        <w:numPr>
          <w:ilvl w:val="0"/>
          <w:numId w:val="5"/>
        </w:numPr>
        <w:rPr>
          <w:sz w:val="25"/>
          <w:szCs w:val="25"/>
        </w:rPr>
      </w:pPr>
      <w:r w:rsidRPr="003162FF">
        <w:rPr>
          <w:sz w:val="25"/>
          <w:szCs w:val="25"/>
        </w:rPr>
        <w:t xml:space="preserve">Koopman, A. &amp; Seymour, L.F., 2020. </w:t>
      </w:r>
      <w:r w:rsidRPr="003162FF">
        <w:rPr>
          <w:i/>
          <w:iCs/>
          <w:sz w:val="25"/>
          <w:szCs w:val="25"/>
        </w:rPr>
        <w:t>Factors impacting successful BPMS adoption and use: A South African financial services case study.</w:t>
      </w:r>
      <w:r w:rsidRPr="003162FF">
        <w:rPr>
          <w:sz w:val="25"/>
          <w:szCs w:val="25"/>
        </w:rPr>
        <w:t xml:space="preserve"> In: </w:t>
      </w:r>
      <w:r w:rsidRPr="003162FF">
        <w:rPr>
          <w:i/>
          <w:iCs/>
          <w:sz w:val="25"/>
          <w:szCs w:val="25"/>
        </w:rPr>
        <w:t>Advances in Enterprise Systems</w:t>
      </w:r>
      <w:r w:rsidRPr="003162FF">
        <w:rPr>
          <w:sz w:val="25"/>
          <w:szCs w:val="25"/>
        </w:rPr>
        <w:t xml:space="preserve"> (Springer). Available at: </w:t>
      </w:r>
      <w:hyperlink r:id="rId8" w:tgtFrame="_new" w:history="1">
        <w:r w:rsidRPr="003162FF">
          <w:rPr>
            <w:rStyle w:val="Hyperlink"/>
            <w:sz w:val="25"/>
            <w:szCs w:val="25"/>
          </w:rPr>
          <w:t>https://link.springer.com</w:t>
        </w:r>
      </w:hyperlink>
      <w:r w:rsidRPr="003162FF">
        <w:rPr>
          <w:sz w:val="25"/>
          <w:szCs w:val="25"/>
        </w:rPr>
        <w:t xml:space="preserve"> [Accessed 31 Oct 2025].</w:t>
      </w:r>
    </w:p>
    <w:p w14:paraId="4574D239" w14:textId="67CABFB7" w:rsidR="003162FF" w:rsidRPr="003162FF" w:rsidRDefault="003162FF" w:rsidP="003162FF">
      <w:pPr>
        <w:pStyle w:val="ListParagraph"/>
        <w:numPr>
          <w:ilvl w:val="0"/>
          <w:numId w:val="5"/>
        </w:numPr>
        <w:rPr>
          <w:sz w:val="25"/>
          <w:szCs w:val="25"/>
        </w:rPr>
      </w:pPr>
      <w:r w:rsidRPr="003162FF">
        <w:rPr>
          <w:sz w:val="25"/>
          <w:szCs w:val="25"/>
        </w:rPr>
        <w:t xml:space="preserve">Lopes, T. &amp; Guerreiro, S., 2023. </w:t>
      </w:r>
      <w:r w:rsidRPr="003162FF">
        <w:rPr>
          <w:i/>
          <w:iCs/>
          <w:sz w:val="25"/>
          <w:szCs w:val="25"/>
        </w:rPr>
        <w:t>Assessing business process models: a literature review on techniques for BPMN testing and formal verification.</w:t>
      </w:r>
      <w:r w:rsidRPr="003162FF">
        <w:rPr>
          <w:sz w:val="25"/>
          <w:szCs w:val="25"/>
        </w:rPr>
        <w:t xml:space="preserve"> Business Process Management Journal. Available at: </w:t>
      </w:r>
      <w:hyperlink r:id="rId9" w:tgtFrame="_new" w:history="1">
        <w:r w:rsidRPr="003162FF">
          <w:rPr>
            <w:rStyle w:val="Hyperlink"/>
            <w:sz w:val="25"/>
            <w:szCs w:val="25"/>
          </w:rPr>
          <w:t>https://www.emerald.com</w:t>
        </w:r>
      </w:hyperlink>
      <w:r w:rsidRPr="003162FF">
        <w:rPr>
          <w:sz w:val="25"/>
          <w:szCs w:val="25"/>
        </w:rPr>
        <w:t xml:space="preserve"> [Accessed 31 Oct 2025].</w:t>
      </w:r>
    </w:p>
    <w:p w14:paraId="2DB1A5B5" w14:textId="7C22DE0B" w:rsidR="003162FF" w:rsidRPr="003162FF" w:rsidRDefault="003162FF" w:rsidP="003162FF">
      <w:pPr>
        <w:pStyle w:val="ListParagraph"/>
        <w:numPr>
          <w:ilvl w:val="0"/>
          <w:numId w:val="5"/>
        </w:numPr>
        <w:rPr>
          <w:sz w:val="25"/>
          <w:szCs w:val="25"/>
        </w:rPr>
      </w:pPr>
      <w:r w:rsidRPr="003162FF">
        <w:rPr>
          <w:sz w:val="25"/>
          <w:szCs w:val="25"/>
        </w:rPr>
        <w:t xml:space="preserve">Mariya, K., Sofiia, Z., Ganna, W. &amp; Kateryna, M., 2024. </w:t>
      </w:r>
      <w:r w:rsidRPr="003162FF">
        <w:rPr>
          <w:i/>
          <w:iCs/>
          <w:sz w:val="25"/>
          <w:szCs w:val="25"/>
        </w:rPr>
        <w:t>BPMN Diagrams as an Essential Tool for Enhancing Business Process Management and Team Collaboration.</w:t>
      </w:r>
      <w:r w:rsidRPr="003162FF">
        <w:rPr>
          <w:sz w:val="25"/>
          <w:szCs w:val="25"/>
        </w:rPr>
        <w:t xml:space="preserve"> European Research Studies Journal. Available at: </w:t>
      </w:r>
      <w:hyperlink r:id="rId10" w:tgtFrame="_new" w:history="1">
        <w:r w:rsidRPr="003162FF">
          <w:rPr>
            <w:rStyle w:val="Hyperlink"/>
            <w:sz w:val="25"/>
            <w:szCs w:val="25"/>
          </w:rPr>
          <w:t>https://ersj.eu</w:t>
        </w:r>
      </w:hyperlink>
      <w:r w:rsidRPr="003162FF">
        <w:rPr>
          <w:sz w:val="25"/>
          <w:szCs w:val="25"/>
        </w:rPr>
        <w:t xml:space="preserve"> [Accessed 31 Oct 2025].</w:t>
      </w:r>
    </w:p>
    <w:p w14:paraId="132ED1CB" w14:textId="76A3E056" w:rsidR="003162FF" w:rsidRDefault="003162FF" w:rsidP="003162FF">
      <w:pPr>
        <w:pStyle w:val="ListParagraph"/>
        <w:numPr>
          <w:ilvl w:val="0"/>
          <w:numId w:val="5"/>
        </w:numPr>
        <w:rPr>
          <w:sz w:val="25"/>
          <w:szCs w:val="25"/>
        </w:rPr>
      </w:pPr>
      <w:r w:rsidRPr="003162FF">
        <w:rPr>
          <w:sz w:val="25"/>
          <w:szCs w:val="25"/>
        </w:rPr>
        <w:t xml:space="preserve">Polančič, G. &amp; Orban, B., 2023. </w:t>
      </w:r>
      <w:r w:rsidRPr="003162FF">
        <w:rPr>
          <w:i/>
          <w:iCs/>
          <w:sz w:val="25"/>
          <w:szCs w:val="25"/>
        </w:rPr>
        <w:t>An experimental investigation of BPMN-based corporate communications modeling.</w:t>
      </w:r>
      <w:r w:rsidRPr="003162FF">
        <w:rPr>
          <w:sz w:val="25"/>
          <w:szCs w:val="25"/>
        </w:rPr>
        <w:t xml:space="preserve"> Business Process Management Journal. Available at: </w:t>
      </w:r>
      <w:hyperlink r:id="rId11" w:tgtFrame="_new" w:history="1">
        <w:r w:rsidRPr="003162FF">
          <w:rPr>
            <w:rStyle w:val="Hyperlink"/>
            <w:sz w:val="25"/>
            <w:szCs w:val="25"/>
          </w:rPr>
          <w:t>https://www.emerald.com</w:t>
        </w:r>
      </w:hyperlink>
      <w:r w:rsidRPr="003162FF">
        <w:rPr>
          <w:sz w:val="25"/>
          <w:szCs w:val="25"/>
        </w:rPr>
        <w:t xml:space="preserve"> [Accessed 31 Oct 2025].</w:t>
      </w:r>
    </w:p>
    <w:p w14:paraId="267E280D" w14:textId="1137704D" w:rsidR="003162FF" w:rsidRPr="003162FF" w:rsidRDefault="003162FF" w:rsidP="003162FF">
      <w:pPr>
        <w:pStyle w:val="ListParagraph"/>
        <w:numPr>
          <w:ilvl w:val="0"/>
          <w:numId w:val="5"/>
        </w:numPr>
        <w:rPr>
          <w:sz w:val="25"/>
          <w:szCs w:val="25"/>
        </w:rPr>
      </w:pPr>
      <w:r w:rsidRPr="003162FF">
        <w:rPr>
          <w:sz w:val="25"/>
          <w:szCs w:val="25"/>
        </w:rPr>
        <w:t xml:space="preserve">Arévalo, C., Escalona, M.J. &amp; Ramos, I., 2016. A metamodel to integrate business processes time perspective in BPMN 2.0. Information and Software Technology. Available at: </w:t>
      </w:r>
      <w:hyperlink r:id="rId12" w:history="1">
        <w:r w:rsidRPr="00F43C81">
          <w:rPr>
            <w:rStyle w:val="Hyperlink"/>
            <w:sz w:val="25"/>
            <w:szCs w:val="25"/>
          </w:rPr>
          <w:t>https://www.sciencedirect.com/science/article/pii/S0950584916301231</w:t>
        </w:r>
      </w:hyperlink>
      <w:r>
        <w:rPr>
          <w:sz w:val="25"/>
          <w:szCs w:val="25"/>
        </w:rPr>
        <w:t xml:space="preserve"> </w:t>
      </w:r>
      <w:r w:rsidRPr="003162FF">
        <w:rPr>
          <w:sz w:val="25"/>
          <w:szCs w:val="25"/>
        </w:rPr>
        <w:t>[Accessed 31 Oct 2025].</w:t>
      </w:r>
    </w:p>
    <w:p w14:paraId="7FD4631A" w14:textId="07082433" w:rsidR="003162FF" w:rsidRPr="003162FF" w:rsidRDefault="003162FF" w:rsidP="003162FF">
      <w:pPr>
        <w:pStyle w:val="ListParagraph"/>
        <w:numPr>
          <w:ilvl w:val="0"/>
          <w:numId w:val="5"/>
        </w:numPr>
        <w:rPr>
          <w:sz w:val="25"/>
          <w:szCs w:val="25"/>
        </w:rPr>
      </w:pPr>
      <w:r w:rsidRPr="003162FF">
        <w:rPr>
          <w:sz w:val="25"/>
          <w:szCs w:val="25"/>
        </w:rPr>
        <w:t>Chang, J.F., 2016. Business process management systems: strategy and implementation. Taylor &amp; Francis. Available at:</w:t>
      </w:r>
      <w:r>
        <w:rPr>
          <w:sz w:val="25"/>
          <w:szCs w:val="25"/>
        </w:rPr>
        <w:t xml:space="preserve"> </w:t>
      </w:r>
      <w:hyperlink r:id="rId13" w:history="1">
        <w:r w:rsidRPr="00F43C81">
          <w:rPr>
            <w:rStyle w:val="Hyperlink"/>
            <w:sz w:val="25"/>
            <w:szCs w:val="25"/>
          </w:rPr>
          <w:t>https://www.taylorfrancis.com/books/mono/10.1201/9781315384876</w:t>
        </w:r>
      </w:hyperlink>
      <w:r>
        <w:rPr>
          <w:sz w:val="25"/>
          <w:szCs w:val="25"/>
        </w:rPr>
        <w:t xml:space="preserve"> </w:t>
      </w:r>
      <w:r w:rsidRPr="003162FF">
        <w:rPr>
          <w:sz w:val="25"/>
          <w:szCs w:val="25"/>
        </w:rPr>
        <w:t xml:space="preserve"> [Accessed 31 Oct 2025].</w:t>
      </w:r>
    </w:p>
    <w:p w14:paraId="14D5322B" w14:textId="31F538FE" w:rsidR="003162FF" w:rsidRPr="003162FF" w:rsidRDefault="003162FF" w:rsidP="003162FF">
      <w:pPr>
        <w:pStyle w:val="ListParagraph"/>
        <w:numPr>
          <w:ilvl w:val="0"/>
          <w:numId w:val="5"/>
        </w:numPr>
        <w:rPr>
          <w:sz w:val="25"/>
          <w:szCs w:val="25"/>
        </w:rPr>
      </w:pPr>
      <w:r w:rsidRPr="003162FF">
        <w:rPr>
          <w:sz w:val="25"/>
          <w:szCs w:val="25"/>
        </w:rPr>
        <w:t xml:space="preserve">Mariya, K., Sofiia, Z., Ganna, W. &amp; Kateryna, M., 2024. BPMN Diagrams as an Essential Tool for Enhancing Business Process Management and Team Collaboration. European Research Studies Journal. Available at: </w:t>
      </w:r>
      <w:hyperlink r:id="rId14" w:history="1">
        <w:r w:rsidRPr="00F43C81">
          <w:rPr>
            <w:rStyle w:val="Hyperlink"/>
            <w:sz w:val="25"/>
            <w:szCs w:val="25"/>
          </w:rPr>
          <w:t>https://ersj.eu/journal/2024</w:t>
        </w:r>
      </w:hyperlink>
      <w:r>
        <w:rPr>
          <w:sz w:val="25"/>
          <w:szCs w:val="25"/>
        </w:rPr>
        <w:t xml:space="preserve"> </w:t>
      </w:r>
      <w:r w:rsidRPr="003162FF">
        <w:rPr>
          <w:sz w:val="25"/>
          <w:szCs w:val="25"/>
        </w:rPr>
        <w:t xml:space="preserve"> [Accessed 31 Oct 2025].</w:t>
      </w:r>
    </w:p>
    <w:p w14:paraId="590774F0" w14:textId="1FE140C8" w:rsidR="003162FF" w:rsidRPr="003162FF" w:rsidRDefault="003162FF" w:rsidP="003162FF">
      <w:pPr>
        <w:pStyle w:val="ListParagraph"/>
        <w:numPr>
          <w:ilvl w:val="0"/>
          <w:numId w:val="5"/>
        </w:numPr>
        <w:rPr>
          <w:sz w:val="25"/>
          <w:szCs w:val="25"/>
        </w:rPr>
      </w:pPr>
      <w:r w:rsidRPr="003162FF">
        <w:rPr>
          <w:sz w:val="25"/>
          <w:szCs w:val="25"/>
        </w:rPr>
        <w:t xml:space="preserve">Oukharijane, J., Said, I.B., Chaabane, M.A. &amp; Andonoff, E., 2019. Towards a New Adaptation Engine for Self-Adaptation of BPMN Processes Instances. ENASE. Available at: </w:t>
      </w:r>
      <w:hyperlink r:id="rId15" w:history="1">
        <w:r w:rsidRPr="00F43C81">
          <w:rPr>
            <w:rStyle w:val="Hyperlink"/>
            <w:sz w:val="25"/>
            <w:szCs w:val="25"/>
          </w:rPr>
          <w:t>https://www.scitepress.org/Papers/2019/82940/82940.pdf</w:t>
        </w:r>
      </w:hyperlink>
      <w:r>
        <w:rPr>
          <w:sz w:val="25"/>
          <w:szCs w:val="25"/>
        </w:rPr>
        <w:t xml:space="preserve"> </w:t>
      </w:r>
      <w:r w:rsidRPr="003162FF">
        <w:rPr>
          <w:sz w:val="25"/>
          <w:szCs w:val="25"/>
        </w:rPr>
        <w:t xml:space="preserve"> [Accessed 31 Oct 2025].</w:t>
      </w:r>
    </w:p>
    <w:p w14:paraId="07E23091" w14:textId="68EB4613" w:rsidR="003162FF" w:rsidRDefault="003162FF" w:rsidP="003162FF">
      <w:pPr>
        <w:pStyle w:val="ListParagraph"/>
        <w:numPr>
          <w:ilvl w:val="0"/>
          <w:numId w:val="5"/>
        </w:numPr>
        <w:rPr>
          <w:sz w:val="25"/>
          <w:szCs w:val="25"/>
        </w:rPr>
      </w:pPr>
      <w:r w:rsidRPr="003162FF">
        <w:rPr>
          <w:sz w:val="25"/>
          <w:szCs w:val="25"/>
        </w:rPr>
        <w:t xml:space="preserve">Pillat, R.M., Santos, R.M.S. &amp; Oliveira, T.C., 2019. Systematic literature review on BPMN-based process adaptation approaches. Proceedings of Brazilian Symposium. Available at: </w:t>
      </w:r>
      <w:hyperlink r:id="rId16" w:history="1">
        <w:r w:rsidRPr="00F43C81">
          <w:rPr>
            <w:rStyle w:val="Hyperlink"/>
            <w:sz w:val="25"/>
            <w:szCs w:val="25"/>
          </w:rPr>
          <w:t>https://dl.acm.org</w:t>
        </w:r>
      </w:hyperlink>
      <w:r>
        <w:rPr>
          <w:sz w:val="25"/>
          <w:szCs w:val="25"/>
        </w:rPr>
        <w:t xml:space="preserve"> </w:t>
      </w:r>
      <w:r w:rsidRPr="003162FF">
        <w:rPr>
          <w:sz w:val="25"/>
          <w:szCs w:val="25"/>
        </w:rPr>
        <w:t>[Accessed 31 Oct 2025].</w:t>
      </w:r>
    </w:p>
    <w:p w14:paraId="3AA927D6" w14:textId="0367CF58" w:rsidR="00272753" w:rsidRPr="00272753" w:rsidRDefault="00272753" w:rsidP="00272753">
      <w:pPr>
        <w:pStyle w:val="ListParagraph"/>
        <w:numPr>
          <w:ilvl w:val="0"/>
          <w:numId w:val="5"/>
        </w:numPr>
        <w:rPr>
          <w:sz w:val="25"/>
          <w:szCs w:val="25"/>
        </w:rPr>
      </w:pPr>
      <w:r w:rsidRPr="00272753">
        <w:rPr>
          <w:sz w:val="25"/>
          <w:szCs w:val="25"/>
        </w:rPr>
        <w:t xml:space="preserve">Bagde, P., Bobde, A. &amp; Bagde, L.P., 2021. Information and Communication Technology (ICT) enabled Higher Education: Current Trends and Challenges. Ilkogretim Online. Available at: </w:t>
      </w:r>
      <w:hyperlink r:id="rId17" w:history="1">
        <w:r w:rsidRPr="00F43C81">
          <w:rPr>
            <w:rStyle w:val="Hyperlink"/>
            <w:sz w:val="25"/>
            <w:szCs w:val="25"/>
          </w:rPr>
          <w:t>https://www.academia.edu</w:t>
        </w:r>
      </w:hyperlink>
      <w:r>
        <w:rPr>
          <w:sz w:val="25"/>
          <w:szCs w:val="25"/>
        </w:rPr>
        <w:t xml:space="preserve"> </w:t>
      </w:r>
      <w:r w:rsidRPr="00272753">
        <w:rPr>
          <w:sz w:val="25"/>
          <w:szCs w:val="25"/>
        </w:rPr>
        <w:t>[Accessed 31 Oct 2025].</w:t>
      </w:r>
    </w:p>
    <w:p w14:paraId="066A16F6" w14:textId="0452C095" w:rsidR="00272753" w:rsidRPr="00272753" w:rsidRDefault="00272753" w:rsidP="00272753">
      <w:pPr>
        <w:pStyle w:val="ListParagraph"/>
        <w:numPr>
          <w:ilvl w:val="0"/>
          <w:numId w:val="5"/>
        </w:numPr>
        <w:rPr>
          <w:sz w:val="25"/>
          <w:szCs w:val="25"/>
        </w:rPr>
      </w:pPr>
      <w:r w:rsidRPr="00272753">
        <w:rPr>
          <w:sz w:val="25"/>
          <w:szCs w:val="25"/>
        </w:rPr>
        <w:t xml:space="preserve">Cimino, A., Filice, A.C., Longo, F. &amp; Mirabelli, G., 2025. Evolution of BPMN and Simulation Integration: Trends, Challenges, and Future Directions. Procedia Computer Science. Available at: </w:t>
      </w:r>
      <w:hyperlink r:id="rId18" w:history="1">
        <w:r w:rsidRPr="00F43C81">
          <w:rPr>
            <w:rStyle w:val="Hyperlink"/>
            <w:sz w:val="25"/>
            <w:szCs w:val="25"/>
          </w:rPr>
          <w:t>https://www.sciencedirect.com</w:t>
        </w:r>
      </w:hyperlink>
      <w:r>
        <w:rPr>
          <w:sz w:val="25"/>
          <w:szCs w:val="25"/>
        </w:rPr>
        <w:t xml:space="preserve"> </w:t>
      </w:r>
      <w:r w:rsidRPr="00272753">
        <w:rPr>
          <w:sz w:val="25"/>
          <w:szCs w:val="25"/>
        </w:rPr>
        <w:t>[Accessed 31 Oct 2025].</w:t>
      </w:r>
    </w:p>
    <w:p w14:paraId="2EFF8328" w14:textId="0E41D2CB" w:rsidR="00272753" w:rsidRPr="00272753" w:rsidRDefault="00272753" w:rsidP="00272753">
      <w:pPr>
        <w:pStyle w:val="ListParagraph"/>
        <w:numPr>
          <w:ilvl w:val="0"/>
          <w:numId w:val="5"/>
        </w:numPr>
        <w:rPr>
          <w:sz w:val="25"/>
          <w:szCs w:val="25"/>
        </w:rPr>
      </w:pPr>
      <w:r w:rsidRPr="00272753">
        <w:rPr>
          <w:sz w:val="25"/>
          <w:szCs w:val="25"/>
        </w:rPr>
        <w:t xml:space="preserve">Oliveira, A., Silva, A., Camara, D. &amp; Silva, E., 2025. Process Automation with BPM and Emerging Technologies for Service and Industrial Process Optimization. SBC Proceedings. Available at: </w:t>
      </w:r>
      <w:hyperlink r:id="rId19" w:history="1">
        <w:r w:rsidRPr="00F43C81">
          <w:rPr>
            <w:rStyle w:val="Hyperlink"/>
            <w:sz w:val="25"/>
            <w:szCs w:val="25"/>
          </w:rPr>
          <w:t>https://sol.sbc.org.br</w:t>
        </w:r>
      </w:hyperlink>
      <w:r>
        <w:rPr>
          <w:sz w:val="25"/>
          <w:szCs w:val="25"/>
        </w:rPr>
        <w:t xml:space="preserve"> </w:t>
      </w:r>
      <w:r w:rsidRPr="00272753">
        <w:rPr>
          <w:sz w:val="25"/>
          <w:szCs w:val="25"/>
        </w:rPr>
        <w:t>[Accessed 31 Oct 2025].</w:t>
      </w:r>
    </w:p>
    <w:p w14:paraId="1B575A51" w14:textId="7117E282" w:rsidR="00272753" w:rsidRPr="00272753" w:rsidRDefault="00272753" w:rsidP="00272753">
      <w:pPr>
        <w:pStyle w:val="ListParagraph"/>
        <w:numPr>
          <w:ilvl w:val="0"/>
          <w:numId w:val="5"/>
        </w:numPr>
        <w:rPr>
          <w:sz w:val="25"/>
          <w:szCs w:val="25"/>
        </w:rPr>
      </w:pPr>
      <w:r w:rsidRPr="00272753">
        <w:rPr>
          <w:sz w:val="25"/>
          <w:szCs w:val="25"/>
        </w:rPr>
        <w:t xml:space="preserve">Salvadorinho, J. &amp; Teixeira, L., 2021. Organizational knowledge in the I4.0 using BPMN: a case study. Procedia Computer Science. Available at: </w:t>
      </w:r>
      <w:hyperlink r:id="rId20" w:history="1">
        <w:r w:rsidRPr="00F43C81">
          <w:rPr>
            <w:rStyle w:val="Hyperlink"/>
            <w:sz w:val="25"/>
            <w:szCs w:val="25"/>
          </w:rPr>
          <w:t>https://www.sciencedirect.com</w:t>
        </w:r>
      </w:hyperlink>
      <w:r>
        <w:rPr>
          <w:sz w:val="25"/>
          <w:szCs w:val="25"/>
        </w:rPr>
        <w:t xml:space="preserve"> </w:t>
      </w:r>
      <w:r w:rsidRPr="00272753">
        <w:rPr>
          <w:sz w:val="25"/>
          <w:szCs w:val="25"/>
        </w:rPr>
        <w:t>[Accessed 31 Oct 2025].</w:t>
      </w:r>
    </w:p>
    <w:p w14:paraId="24EC2431" w14:textId="370DF3B5" w:rsidR="003162FF" w:rsidRPr="00272753" w:rsidRDefault="00272753" w:rsidP="00272753">
      <w:pPr>
        <w:pStyle w:val="ListParagraph"/>
        <w:numPr>
          <w:ilvl w:val="0"/>
          <w:numId w:val="5"/>
        </w:numPr>
        <w:rPr>
          <w:sz w:val="25"/>
          <w:szCs w:val="25"/>
        </w:rPr>
      </w:pPr>
      <w:r w:rsidRPr="00272753">
        <w:rPr>
          <w:sz w:val="25"/>
          <w:szCs w:val="25"/>
        </w:rPr>
        <w:t xml:space="preserve">Szelągowski, M. &amp; Lupeikiene, A., 2020. Business process management systems: evolution and development trends. Informatica. Available at: </w:t>
      </w:r>
      <w:hyperlink r:id="rId21" w:history="1">
        <w:r w:rsidRPr="00F43C81">
          <w:rPr>
            <w:rStyle w:val="Hyperlink"/>
            <w:sz w:val="25"/>
            <w:szCs w:val="25"/>
          </w:rPr>
          <w:t>https://journals.sagepub.com</w:t>
        </w:r>
      </w:hyperlink>
      <w:r>
        <w:rPr>
          <w:sz w:val="25"/>
          <w:szCs w:val="25"/>
        </w:rPr>
        <w:t xml:space="preserve"> </w:t>
      </w:r>
      <w:r w:rsidRPr="00272753">
        <w:rPr>
          <w:sz w:val="25"/>
          <w:szCs w:val="25"/>
        </w:rPr>
        <w:t>[Accessed 31 Oct 2025].</w:t>
      </w:r>
    </w:p>
    <w:p w14:paraId="1E5E0DAD" w14:textId="77777777" w:rsidR="00456266" w:rsidRPr="00456266" w:rsidRDefault="00456266" w:rsidP="00456266"/>
    <w:sectPr w:rsidR="00456266" w:rsidRPr="0045626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137242"/>
    <w:multiLevelType w:val="hybridMultilevel"/>
    <w:tmpl w:val="62F8184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 w15:restartNumberingAfterBreak="0">
    <w:nsid w:val="04A848F9"/>
    <w:multiLevelType w:val="hybridMultilevel"/>
    <w:tmpl w:val="7212A07E"/>
    <w:lvl w:ilvl="0" w:tplc="1C090009">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06243063"/>
    <w:multiLevelType w:val="hybridMultilevel"/>
    <w:tmpl w:val="C01A4114"/>
    <w:lvl w:ilvl="0" w:tplc="4266D1DE">
      <w:start w:val="1"/>
      <w:numFmt w:val="upperLetter"/>
      <w:lvlText w:val="(%1)"/>
      <w:lvlJc w:val="left"/>
      <w:pPr>
        <w:ind w:left="1239" w:hanging="375"/>
      </w:pPr>
      <w:rPr>
        <w:rFonts w:hint="default"/>
      </w:rPr>
    </w:lvl>
    <w:lvl w:ilvl="1" w:tplc="1C090019" w:tentative="1">
      <w:start w:val="1"/>
      <w:numFmt w:val="lowerLetter"/>
      <w:lvlText w:val="%2."/>
      <w:lvlJc w:val="left"/>
      <w:pPr>
        <w:ind w:left="1944" w:hanging="360"/>
      </w:pPr>
    </w:lvl>
    <w:lvl w:ilvl="2" w:tplc="1C09001B" w:tentative="1">
      <w:start w:val="1"/>
      <w:numFmt w:val="lowerRoman"/>
      <w:lvlText w:val="%3."/>
      <w:lvlJc w:val="right"/>
      <w:pPr>
        <w:ind w:left="2664" w:hanging="180"/>
      </w:pPr>
    </w:lvl>
    <w:lvl w:ilvl="3" w:tplc="1C09000F" w:tentative="1">
      <w:start w:val="1"/>
      <w:numFmt w:val="decimal"/>
      <w:lvlText w:val="%4."/>
      <w:lvlJc w:val="left"/>
      <w:pPr>
        <w:ind w:left="3384" w:hanging="360"/>
      </w:pPr>
    </w:lvl>
    <w:lvl w:ilvl="4" w:tplc="1C090019" w:tentative="1">
      <w:start w:val="1"/>
      <w:numFmt w:val="lowerLetter"/>
      <w:lvlText w:val="%5."/>
      <w:lvlJc w:val="left"/>
      <w:pPr>
        <w:ind w:left="4104" w:hanging="360"/>
      </w:pPr>
    </w:lvl>
    <w:lvl w:ilvl="5" w:tplc="1C09001B" w:tentative="1">
      <w:start w:val="1"/>
      <w:numFmt w:val="lowerRoman"/>
      <w:lvlText w:val="%6."/>
      <w:lvlJc w:val="right"/>
      <w:pPr>
        <w:ind w:left="4824" w:hanging="180"/>
      </w:pPr>
    </w:lvl>
    <w:lvl w:ilvl="6" w:tplc="1C09000F" w:tentative="1">
      <w:start w:val="1"/>
      <w:numFmt w:val="decimal"/>
      <w:lvlText w:val="%7."/>
      <w:lvlJc w:val="left"/>
      <w:pPr>
        <w:ind w:left="5544" w:hanging="360"/>
      </w:pPr>
    </w:lvl>
    <w:lvl w:ilvl="7" w:tplc="1C090019" w:tentative="1">
      <w:start w:val="1"/>
      <w:numFmt w:val="lowerLetter"/>
      <w:lvlText w:val="%8."/>
      <w:lvlJc w:val="left"/>
      <w:pPr>
        <w:ind w:left="6264" w:hanging="360"/>
      </w:pPr>
    </w:lvl>
    <w:lvl w:ilvl="8" w:tplc="1C09001B" w:tentative="1">
      <w:start w:val="1"/>
      <w:numFmt w:val="lowerRoman"/>
      <w:lvlText w:val="%9."/>
      <w:lvlJc w:val="right"/>
      <w:pPr>
        <w:ind w:left="6984" w:hanging="180"/>
      </w:pPr>
    </w:lvl>
  </w:abstractNum>
  <w:abstractNum w:abstractNumId="3" w15:restartNumberingAfterBreak="0">
    <w:nsid w:val="1A6970F8"/>
    <w:multiLevelType w:val="hybridMultilevel"/>
    <w:tmpl w:val="7402F7CA"/>
    <w:lvl w:ilvl="0" w:tplc="1C09000B">
      <w:start w:val="1"/>
      <w:numFmt w:val="bullet"/>
      <w:lvlText w:val=""/>
      <w:lvlJc w:val="left"/>
      <w:pPr>
        <w:ind w:left="720" w:hanging="360"/>
      </w:pPr>
      <w:rPr>
        <w:rFonts w:ascii="Wingdings" w:hAnsi="Wingding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 w15:restartNumberingAfterBreak="0">
    <w:nsid w:val="1C440101"/>
    <w:multiLevelType w:val="hybridMultilevel"/>
    <w:tmpl w:val="65F04092"/>
    <w:lvl w:ilvl="0" w:tplc="1C090005">
      <w:start w:val="1"/>
      <w:numFmt w:val="bullet"/>
      <w:lvlText w:val=""/>
      <w:lvlJc w:val="left"/>
      <w:pPr>
        <w:ind w:left="720" w:hanging="360"/>
      </w:pPr>
      <w:rPr>
        <w:rFonts w:ascii="Wingdings" w:hAnsi="Wingding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5" w15:restartNumberingAfterBreak="0">
    <w:nsid w:val="27FF1266"/>
    <w:multiLevelType w:val="hybridMultilevel"/>
    <w:tmpl w:val="270E9E68"/>
    <w:lvl w:ilvl="0" w:tplc="1C090005">
      <w:start w:val="1"/>
      <w:numFmt w:val="bullet"/>
      <w:lvlText w:val=""/>
      <w:lvlJc w:val="left"/>
      <w:pPr>
        <w:ind w:left="720" w:hanging="360"/>
      </w:pPr>
      <w:rPr>
        <w:rFonts w:ascii="Wingdings" w:hAnsi="Wingding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6" w15:restartNumberingAfterBreak="0">
    <w:nsid w:val="39FB0F43"/>
    <w:multiLevelType w:val="hybridMultilevel"/>
    <w:tmpl w:val="E006DA8E"/>
    <w:lvl w:ilvl="0" w:tplc="1C09000F">
      <w:start w:val="3"/>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7" w15:restartNumberingAfterBreak="0">
    <w:nsid w:val="3C76305C"/>
    <w:multiLevelType w:val="hybridMultilevel"/>
    <w:tmpl w:val="E96EB8DC"/>
    <w:lvl w:ilvl="0" w:tplc="1C090001">
      <w:start w:val="1"/>
      <w:numFmt w:val="bullet"/>
      <w:lvlText w:val=""/>
      <w:lvlJc w:val="left"/>
      <w:pPr>
        <w:ind w:left="720" w:hanging="360"/>
      </w:pPr>
      <w:rPr>
        <w:rFonts w:ascii="Symbol" w:hAnsi="Symbol" w:hint="default"/>
      </w:rPr>
    </w:lvl>
    <w:lvl w:ilvl="1" w:tplc="1C090003">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8" w15:restartNumberingAfterBreak="0">
    <w:nsid w:val="4096050C"/>
    <w:multiLevelType w:val="hybridMultilevel"/>
    <w:tmpl w:val="04D0DDF0"/>
    <w:lvl w:ilvl="0" w:tplc="1C090009">
      <w:start w:val="1"/>
      <w:numFmt w:val="bullet"/>
      <w:lvlText w:val=""/>
      <w:lvlJc w:val="left"/>
      <w:pPr>
        <w:ind w:left="1080" w:hanging="360"/>
      </w:pPr>
      <w:rPr>
        <w:rFonts w:ascii="Wingdings" w:hAnsi="Wingdings" w:hint="default"/>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9" w15:restartNumberingAfterBreak="0">
    <w:nsid w:val="54F57DEE"/>
    <w:multiLevelType w:val="hybridMultilevel"/>
    <w:tmpl w:val="EBAA90CC"/>
    <w:lvl w:ilvl="0" w:tplc="1C090005">
      <w:start w:val="1"/>
      <w:numFmt w:val="bullet"/>
      <w:lvlText w:val=""/>
      <w:lvlJc w:val="left"/>
      <w:pPr>
        <w:ind w:left="720" w:hanging="360"/>
      </w:pPr>
      <w:rPr>
        <w:rFonts w:ascii="Wingdings" w:hAnsi="Wingding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0" w15:restartNumberingAfterBreak="0">
    <w:nsid w:val="578B3709"/>
    <w:multiLevelType w:val="multilevel"/>
    <w:tmpl w:val="3754DB5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59921228"/>
    <w:multiLevelType w:val="hybridMultilevel"/>
    <w:tmpl w:val="6896D52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2" w15:restartNumberingAfterBreak="0">
    <w:nsid w:val="72E2234F"/>
    <w:multiLevelType w:val="hybridMultilevel"/>
    <w:tmpl w:val="69A670EA"/>
    <w:lvl w:ilvl="0" w:tplc="1C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739D2CC3"/>
    <w:multiLevelType w:val="multilevel"/>
    <w:tmpl w:val="485079B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75661402"/>
    <w:multiLevelType w:val="hybridMultilevel"/>
    <w:tmpl w:val="46463AB0"/>
    <w:lvl w:ilvl="0" w:tplc="4440BF8E">
      <w:numFmt w:val="bullet"/>
      <w:lvlText w:val=""/>
      <w:lvlJc w:val="left"/>
      <w:pPr>
        <w:ind w:left="720" w:hanging="360"/>
      </w:pPr>
      <w:rPr>
        <w:rFonts w:ascii="Calibri" w:eastAsiaTheme="minorHAnsi" w:hAnsi="Calibri" w:cs="Calibri"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5" w15:restartNumberingAfterBreak="0">
    <w:nsid w:val="75691562"/>
    <w:multiLevelType w:val="hybridMultilevel"/>
    <w:tmpl w:val="DE307348"/>
    <w:lvl w:ilvl="0" w:tplc="E2A0C26A">
      <w:start w:val="1"/>
      <w:numFmt w:val="upperLetter"/>
      <w:lvlText w:val="(%1)"/>
      <w:lvlJc w:val="left"/>
      <w:pPr>
        <w:ind w:left="1224" w:hanging="360"/>
      </w:pPr>
      <w:rPr>
        <w:rFonts w:hint="default"/>
      </w:rPr>
    </w:lvl>
    <w:lvl w:ilvl="1" w:tplc="1C090019" w:tentative="1">
      <w:start w:val="1"/>
      <w:numFmt w:val="lowerLetter"/>
      <w:lvlText w:val="%2."/>
      <w:lvlJc w:val="left"/>
      <w:pPr>
        <w:ind w:left="1944" w:hanging="360"/>
      </w:pPr>
    </w:lvl>
    <w:lvl w:ilvl="2" w:tplc="1C09001B" w:tentative="1">
      <w:start w:val="1"/>
      <w:numFmt w:val="lowerRoman"/>
      <w:lvlText w:val="%3."/>
      <w:lvlJc w:val="right"/>
      <w:pPr>
        <w:ind w:left="2664" w:hanging="180"/>
      </w:pPr>
    </w:lvl>
    <w:lvl w:ilvl="3" w:tplc="1C09000F" w:tentative="1">
      <w:start w:val="1"/>
      <w:numFmt w:val="decimal"/>
      <w:lvlText w:val="%4."/>
      <w:lvlJc w:val="left"/>
      <w:pPr>
        <w:ind w:left="3384" w:hanging="360"/>
      </w:pPr>
    </w:lvl>
    <w:lvl w:ilvl="4" w:tplc="1C090019" w:tentative="1">
      <w:start w:val="1"/>
      <w:numFmt w:val="lowerLetter"/>
      <w:lvlText w:val="%5."/>
      <w:lvlJc w:val="left"/>
      <w:pPr>
        <w:ind w:left="4104" w:hanging="360"/>
      </w:pPr>
    </w:lvl>
    <w:lvl w:ilvl="5" w:tplc="1C09001B" w:tentative="1">
      <w:start w:val="1"/>
      <w:numFmt w:val="lowerRoman"/>
      <w:lvlText w:val="%6."/>
      <w:lvlJc w:val="right"/>
      <w:pPr>
        <w:ind w:left="4824" w:hanging="180"/>
      </w:pPr>
    </w:lvl>
    <w:lvl w:ilvl="6" w:tplc="1C09000F" w:tentative="1">
      <w:start w:val="1"/>
      <w:numFmt w:val="decimal"/>
      <w:lvlText w:val="%7."/>
      <w:lvlJc w:val="left"/>
      <w:pPr>
        <w:ind w:left="5544" w:hanging="360"/>
      </w:pPr>
    </w:lvl>
    <w:lvl w:ilvl="7" w:tplc="1C090019" w:tentative="1">
      <w:start w:val="1"/>
      <w:numFmt w:val="lowerLetter"/>
      <w:lvlText w:val="%8."/>
      <w:lvlJc w:val="left"/>
      <w:pPr>
        <w:ind w:left="6264" w:hanging="360"/>
      </w:pPr>
    </w:lvl>
    <w:lvl w:ilvl="8" w:tplc="1C09001B" w:tentative="1">
      <w:start w:val="1"/>
      <w:numFmt w:val="lowerRoman"/>
      <w:lvlText w:val="%9."/>
      <w:lvlJc w:val="right"/>
      <w:pPr>
        <w:ind w:left="6984" w:hanging="180"/>
      </w:pPr>
    </w:lvl>
  </w:abstractNum>
  <w:abstractNum w:abstractNumId="16" w15:restartNumberingAfterBreak="0">
    <w:nsid w:val="77C6348B"/>
    <w:multiLevelType w:val="hybridMultilevel"/>
    <w:tmpl w:val="085888F0"/>
    <w:lvl w:ilvl="0" w:tplc="1C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abstractNumId w:val="13"/>
  </w:num>
  <w:num w:numId="2">
    <w:abstractNumId w:val="10"/>
  </w:num>
  <w:num w:numId="3">
    <w:abstractNumId w:val="0"/>
  </w:num>
  <w:num w:numId="4">
    <w:abstractNumId w:val="14"/>
  </w:num>
  <w:num w:numId="5">
    <w:abstractNumId w:val="1"/>
  </w:num>
  <w:num w:numId="6">
    <w:abstractNumId w:val="8"/>
  </w:num>
  <w:num w:numId="7">
    <w:abstractNumId w:val="7"/>
  </w:num>
  <w:num w:numId="8">
    <w:abstractNumId w:val="11"/>
  </w:num>
  <w:num w:numId="9">
    <w:abstractNumId w:val="12"/>
  </w:num>
  <w:num w:numId="10">
    <w:abstractNumId w:val="3"/>
  </w:num>
  <w:num w:numId="11">
    <w:abstractNumId w:val="16"/>
  </w:num>
  <w:num w:numId="12">
    <w:abstractNumId w:val="5"/>
  </w:num>
  <w:num w:numId="13">
    <w:abstractNumId w:val="4"/>
  </w:num>
  <w:num w:numId="14">
    <w:abstractNumId w:val="2"/>
  </w:num>
  <w:num w:numId="15">
    <w:abstractNumId w:val="9"/>
  </w:num>
  <w:num w:numId="16">
    <w:abstractNumId w:val="6"/>
  </w:num>
  <w:num w:numId="1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1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3F06"/>
    <w:rsid w:val="00023936"/>
    <w:rsid w:val="00073EDA"/>
    <w:rsid w:val="000A4982"/>
    <w:rsid w:val="000F7867"/>
    <w:rsid w:val="001B0278"/>
    <w:rsid w:val="001F7304"/>
    <w:rsid w:val="00272753"/>
    <w:rsid w:val="003162FF"/>
    <w:rsid w:val="0037349F"/>
    <w:rsid w:val="00440743"/>
    <w:rsid w:val="00450DC5"/>
    <w:rsid w:val="00456266"/>
    <w:rsid w:val="004A5603"/>
    <w:rsid w:val="00657A2C"/>
    <w:rsid w:val="00691744"/>
    <w:rsid w:val="006E15E5"/>
    <w:rsid w:val="00765A53"/>
    <w:rsid w:val="008C054F"/>
    <w:rsid w:val="00922BB3"/>
    <w:rsid w:val="00995D9D"/>
    <w:rsid w:val="00C479FD"/>
    <w:rsid w:val="00C53F06"/>
    <w:rsid w:val="00CF32DD"/>
    <w:rsid w:val="00E4197E"/>
    <w:rsid w:val="00F06FEC"/>
    <w:rsid w:val="00F21572"/>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2DF172"/>
  <w15:chartTrackingRefBased/>
  <w15:docId w15:val="{F02A743E-2151-42B3-8C08-A5A4C9663C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Quote">
    <w:name w:val="Quote"/>
    <w:basedOn w:val="Normal"/>
    <w:next w:val="Normal"/>
    <w:link w:val="QuoteChar"/>
    <w:uiPriority w:val="29"/>
    <w:qFormat/>
    <w:rsid w:val="00456266"/>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29"/>
    <w:rsid w:val="00456266"/>
    <w:rPr>
      <w:i/>
      <w:iCs/>
      <w:color w:val="404040" w:themeColor="text1" w:themeTint="BF"/>
    </w:rPr>
  </w:style>
  <w:style w:type="paragraph" w:styleId="ListParagraph">
    <w:name w:val="List Paragraph"/>
    <w:basedOn w:val="Normal"/>
    <w:uiPriority w:val="34"/>
    <w:qFormat/>
    <w:rsid w:val="00456266"/>
    <w:pPr>
      <w:ind w:left="720"/>
      <w:contextualSpacing/>
    </w:pPr>
  </w:style>
  <w:style w:type="paragraph" w:styleId="IntenseQuote">
    <w:name w:val="Intense Quote"/>
    <w:basedOn w:val="Normal"/>
    <w:next w:val="Normal"/>
    <w:link w:val="IntenseQuoteChar"/>
    <w:uiPriority w:val="30"/>
    <w:qFormat/>
    <w:rsid w:val="00456266"/>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456266"/>
    <w:rPr>
      <w:i/>
      <w:iCs/>
      <w:color w:val="4472C4" w:themeColor="accent1"/>
    </w:rPr>
  </w:style>
  <w:style w:type="character" w:styleId="Hyperlink">
    <w:name w:val="Hyperlink"/>
    <w:basedOn w:val="DefaultParagraphFont"/>
    <w:uiPriority w:val="99"/>
    <w:unhideWhenUsed/>
    <w:rsid w:val="003162FF"/>
    <w:rPr>
      <w:color w:val="0563C1" w:themeColor="hyperlink"/>
      <w:u w:val="single"/>
    </w:rPr>
  </w:style>
  <w:style w:type="character" w:styleId="UnresolvedMention">
    <w:name w:val="Unresolved Mention"/>
    <w:basedOn w:val="DefaultParagraphFont"/>
    <w:uiPriority w:val="99"/>
    <w:semiHidden/>
    <w:unhideWhenUsed/>
    <w:rsid w:val="003162F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7537089">
      <w:bodyDiv w:val="1"/>
      <w:marLeft w:val="0"/>
      <w:marRight w:val="0"/>
      <w:marTop w:val="0"/>
      <w:marBottom w:val="0"/>
      <w:divBdr>
        <w:top w:val="none" w:sz="0" w:space="0" w:color="auto"/>
        <w:left w:val="none" w:sz="0" w:space="0" w:color="auto"/>
        <w:bottom w:val="none" w:sz="0" w:space="0" w:color="auto"/>
        <w:right w:val="none" w:sz="0" w:space="0" w:color="auto"/>
      </w:divBdr>
    </w:div>
    <w:div w:id="123621164">
      <w:bodyDiv w:val="1"/>
      <w:marLeft w:val="0"/>
      <w:marRight w:val="0"/>
      <w:marTop w:val="0"/>
      <w:marBottom w:val="0"/>
      <w:divBdr>
        <w:top w:val="none" w:sz="0" w:space="0" w:color="auto"/>
        <w:left w:val="none" w:sz="0" w:space="0" w:color="auto"/>
        <w:bottom w:val="none" w:sz="0" w:space="0" w:color="auto"/>
        <w:right w:val="none" w:sz="0" w:space="0" w:color="auto"/>
      </w:divBdr>
    </w:div>
    <w:div w:id="140275399">
      <w:bodyDiv w:val="1"/>
      <w:marLeft w:val="0"/>
      <w:marRight w:val="0"/>
      <w:marTop w:val="0"/>
      <w:marBottom w:val="0"/>
      <w:divBdr>
        <w:top w:val="none" w:sz="0" w:space="0" w:color="auto"/>
        <w:left w:val="none" w:sz="0" w:space="0" w:color="auto"/>
        <w:bottom w:val="none" w:sz="0" w:space="0" w:color="auto"/>
        <w:right w:val="none" w:sz="0" w:space="0" w:color="auto"/>
      </w:divBdr>
    </w:div>
    <w:div w:id="163715209">
      <w:bodyDiv w:val="1"/>
      <w:marLeft w:val="0"/>
      <w:marRight w:val="0"/>
      <w:marTop w:val="0"/>
      <w:marBottom w:val="0"/>
      <w:divBdr>
        <w:top w:val="none" w:sz="0" w:space="0" w:color="auto"/>
        <w:left w:val="none" w:sz="0" w:space="0" w:color="auto"/>
        <w:bottom w:val="none" w:sz="0" w:space="0" w:color="auto"/>
        <w:right w:val="none" w:sz="0" w:space="0" w:color="auto"/>
      </w:divBdr>
    </w:div>
    <w:div w:id="209390242">
      <w:bodyDiv w:val="1"/>
      <w:marLeft w:val="0"/>
      <w:marRight w:val="0"/>
      <w:marTop w:val="0"/>
      <w:marBottom w:val="0"/>
      <w:divBdr>
        <w:top w:val="none" w:sz="0" w:space="0" w:color="auto"/>
        <w:left w:val="none" w:sz="0" w:space="0" w:color="auto"/>
        <w:bottom w:val="none" w:sz="0" w:space="0" w:color="auto"/>
        <w:right w:val="none" w:sz="0" w:space="0" w:color="auto"/>
      </w:divBdr>
    </w:div>
    <w:div w:id="222983655">
      <w:bodyDiv w:val="1"/>
      <w:marLeft w:val="0"/>
      <w:marRight w:val="0"/>
      <w:marTop w:val="0"/>
      <w:marBottom w:val="0"/>
      <w:divBdr>
        <w:top w:val="none" w:sz="0" w:space="0" w:color="auto"/>
        <w:left w:val="none" w:sz="0" w:space="0" w:color="auto"/>
        <w:bottom w:val="none" w:sz="0" w:space="0" w:color="auto"/>
        <w:right w:val="none" w:sz="0" w:space="0" w:color="auto"/>
      </w:divBdr>
    </w:div>
    <w:div w:id="238829305">
      <w:bodyDiv w:val="1"/>
      <w:marLeft w:val="0"/>
      <w:marRight w:val="0"/>
      <w:marTop w:val="0"/>
      <w:marBottom w:val="0"/>
      <w:divBdr>
        <w:top w:val="none" w:sz="0" w:space="0" w:color="auto"/>
        <w:left w:val="none" w:sz="0" w:space="0" w:color="auto"/>
        <w:bottom w:val="none" w:sz="0" w:space="0" w:color="auto"/>
        <w:right w:val="none" w:sz="0" w:space="0" w:color="auto"/>
      </w:divBdr>
    </w:div>
    <w:div w:id="313221777">
      <w:bodyDiv w:val="1"/>
      <w:marLeft w:val="0"/>
      <w:marRight w:val="0"/>
      <w:marTop w:val="0"/>
      <w:marBottom w:val="0"/>
      <w:divBdr>
        <w:top w:val="none" w:sz="0" w:space="0" w:color="auto"/>
        <w:left w:val="none" w:sz="0" w:space="0" w:color="auto"/>
        <w:bottom w:val="none" w:sz="0" w:space="0" w:color="auto"/>
        <w:right w:val="none" w:sz="0" w:space="0" w:color="auto"/>
      </w:divBdr>
    </w:div>
    <w:div w:id="331177024">
      <w:bodyDiv w:val="1"/>
      <w:marLeft w:val="0"/>
      <w:marRight w:val="0"/>
      <w:marTop w:val="0"/>
      <w:marBottom w:val="0"/>
      <w:divBdr>
        <w:top w:val="none" w:sz="0" w:space="0" w:color="auto"/>
        <w:left w:val="none" w:sz="0" w:space="0" w:color="auto"/>
        <w:bottom w:val="none" w:sz="0" w:space="0" w:color="auto"/>
        <w:right w:val="none" w:sz="0" w:space="0" w:color="auto"/>
      </w:divBdr>
    </w:div>
    <w:div w:id="352654831">
      <w:bodyDiv w:val="1"/>
      <w:marLeft w:val="0"/>
      <w:marRight w:val="0"/>
      <w:marTop w:val="0"/>
      <w:marBottom w:val="0"/>
      <w:divBdr>
        <w:top w:val="none" w:sz="0" w:space="0" w:color="auto"/>
        <w:left w:val="none" w:sz="0" w:space="0" w:color="auto"/>
        <w:bottom w:val="none" w:sz="0" w:space="0" w:color="auto"/>
        <w:right w:val="none" w:sz="0" w:space="0" w:color="auto"/>
      </w:divBdr>
    </w:div>
    <w:div w:id="359478308">
      <w:bodyDiv w:val="1"/>
      <w:marLeft w:val="0"/>
      <w:marRight w:val="0"/>
      <w:marTop w:val="0"/>
      <w:marBottom w:val="0"/>
      <w:divBdr>
        <w:top w:val="none" w:sz="0" w:space="0" w:color="auto"/>
        <w:left w:val="none" w:sz="0" w:space="0" w:color="auto"/>
        <w:bottom w:val="none" w:sz="0" w:space="0" w:color="auto"/>
        <w:right w:val="none" w:sz="0" w:space="0" w:color="auto"/>
      </w:divBdr>
    </w:div>
    <w:div w:id="487408282">
      <w:bodyDiv w:val="1"/>
      <w:marLeft w:val="0"/>
      <w:marRight w:val="0"/>
      <w:marTop w:val="0"/>
      <w:marBottom w:val="0"/>
      <w:divBdr>
        <w:top w:val="none" w:sz="0" w:space="0" w:color="auto"/>
        <w:left w:val="none" w:sz="0" w:space="0" w:color="auto"/>
        <w:bottom w:val="none" w:sz="0" w:space="0" w:color="auto"/>
        <w:right w:val="none" w:sz="0" w:space="0" w:color="auto"/>
      </w:divBdr>
    </w:div>
    <w:div w:id="545482483">
      <w:bodyDiv w:val="1"/>
      <w:marLeft w:val="0"/>
      <w:marRight w:val="0"/>
      <w:marTop w:val="0"/>
      <w:marBottom w:val="0"/>
      <w:divBdr>
        <w:top w:val="none" w:sz="0" w:space="0" w:color="auto"/>
        <w:left w:val="none" w:sz="0" w:space="0" w:color="auto"/>
        <w:bottom w:val="none" w:sz="0" w:space="0" w:color="auto"/>
        <w:right w:val="none" w:sz="0" w:space="0" w:color="auto"/>
      </w:divBdr>
    </w:div>
    <w:div w:id="562183424">
      <w:bodyDiv w:val="1"/>
      <w:marLeft w:val="0"/>
      <w:marRight w:val="0"/>
      <w:marTop w:val="0"/>
      <w:marBottom w:val="0"/>
      <w:divBdr>
        <w:top w:val="none" w:sz="0" w:space="0" w:color="auto"/>
        <w:left w:val="none" w:sz="0" w:space="0" w:color="auto"/>
        <w:bottom w:val="none" w:sz="0" w:space="0" w:color="auto"/>
        <w:right w:val="none" w:sz="0" w:space="0" w:color="auto"/>
      </w:divBdr>
    </w:div>
    <w:div w:id="761992561">
      <w:bodyDiv w:val="1"/>
      <w:marLeft w:val="0"/>
      <w:marRight w:val="0"/>
      <w:marTop w:val="0"/>
      <w:marBottom w:val="0"/>
      <w:divBdr>
        <w:top w:val="none" w:sz="0" w:space="0" w:color="auto"/>
        <w:left w:val="none" w:sz="0" w:space="0" w:color="auto"/>
        <w:bottom w:val="none" w:sz="0" w:space="0" w:color="auto"/>
        <w:right w:val="none" w:sz="0" w:space="0" w:color="auto"/>
      </w:divBdr>
    </w:div>
    <w:div w:id="762914286">
      <w:bodyDiv w:val="1"/>
      <w:marLeft w:val="0"/>
      <w:marRight w:val="0"/>
      <w:marTop w:val="0"/>
      <w:marBottom w:val="0"/>
      <w:divBdr>
        <w:top w:val="none" w:sz="0" w:space="0" w:color="auto"/>
        <w:left w:val="none" w:sz="0" w:space="0" w:color="auto"/>
        <w:bottom w:val="none" w:sz="0" w:space="0" w:color="auto"/>
        <w:right w:val="none" w:sz="0" w:space="0" w:color="auto"/>
      </w:divBdr>
    </w:div>
    <w:div w:id="919295800">
      <w:bodyDiv w:val="1"/>
      <w:marLeft w:val="0"/>
      <w:marRight w:val="0"/>
      <w:marTop w:val="0"/>
      <w:marBottom w:val="0"/>
      <w:divBdr>
        <w:top w:val="none" w:sz="0" w:space="0" w:color="auto"/>
        <w:left w:val="none" w:sz="0" w:space="0" w:color="auto"/>
        <w:bottom w:val="none" w:sz="0" w:space="0" w:color="auto"/>
        <w:right w:val="none" w:sz="0" w:space="0" w:color="auto"/>
      </w:divBdr>
    </w:div>
    <w:div w:id="924456302">
      <w:bodyDiv w:val="1"/>
      <w:marLeft w:val="0"/>
      <w:marRight w:val="0"/>
      <w:marTop w:val="0"/>
      <w:marBottom w:val="0"/>
      <w:divBdr>
        <w:top w:val="none" w:sz="0" w:space="0" w:color="auto"/>
        <w:left w:val="none" w:sz="0" w:space="0" w:color="auto"/>
        <w:bottom w:val="none" w:sz="0" w:space="0" w:color="auto"/>
        <w:right w:val="none" w:sz="0" w:space="0" w:color="auto"/>
      </w:divBdr>
    </w:div>
    <w:div w:id="927344912">
      <w:bodyDiv w:val="1"/>
      <w:marLeft w:val="0"/>
      <w:marRight w:val="0"/>
      <w:marTop w:val="0"/>
      <w:marBottom w:val="0"/>
      <w:divBdr>
        <w:top w:val="none" w:sz="0" w:space="0" w:color="auto"/>
        <w:left w:val="none" w:sz="0" w:space="0" w:color="auto"/>
        <w:bottom w:val="none" w:sz="0" w:space="0" w:color="auto"/>
        <w:right w:val="none" w:sz="0" w:space="0" w:color="auto"/>
      </w:divBdr>
    </w:div>
    <w:div w:id="1002858967">
      <w:bodyDiv w:val="1"/>
      <w:marLeft w:val="0"/>
      <w:marRight w:val="0"/>
      <w:marTop w:val="0"/>
      <w:marBottom w:val="0"/>
      <w:divBdr>
        <w:top w:val="none" w:sz="0" w:space="0" w:color="auto"/>
        <w:left w:val="none" w:sz="0" w:space="0" w:color="auto"/>
        <w:bottom w:val="none" w:sz="0" w:space="0" w:color="auto"/>
        <w:right w:val="none" w:sz="0" w:space="0" w:color="auto"/>
      </w:divBdr>
    </w:div>
    <w:div w:id="1261062437">
      <w:bodyDiv w:val="1"/>
      <w:marLeft w:val="0"/>
      <w:marRight w:val="0"/>
      <w:marTop w:val="0"/>
      <w:marBottom w:val="0"/>
      <w:divBdr>
        <w:top w:val="none" w:sz="0" w:space="0" w:color="auto"/>
        <w:left w:val="none" w:sz="0" w:space="0" w:color="auto"/>
        <w:bottom w:val="none" w:sz="0" w:space="0" w:color="auto"/>
        <w:right w:val="none" w:sz="0" w:space="0" w:color="auto"/>
      </w:divBdr>
    </w:div>
    <w:div w:id="1453397053">
      <w:bodyDiv w:val="1"/>
      <w:marLeft w:val="0"/>
      <w:marRight w:val="0"/>
      <w:marTop w:val="0"/>
      <w:marBottom w:val="0"/>
      <w:divBdr>
        <w:top w:val="none" w:sz="0" w:space="0" w:color="auto"/>
        <w:left w:val="none" w:sz="0" w:space="0" w:color="auto"/>
        <w:bottom w:val="none" w:sz="0" w:space="0" w:color="auto"/>
        <w:right w:val="none" w:sz="0" w:space="0" w:color="auto"/>
      </w:divBdr>
    </w:div>
    <w:div w:id="1481849044">
      <w:bodyDiv w:val="1"/>
      <w:marLeft w:val="0"/>
      <w:marRight w:val="0"/>
      <w:marTop w:val="0"/>
      <w:marBottom w:val="0"/>
      <w:divBdr>
        <w:top w:val="none" w:sz="0" w:space="0" w:color="auto"/>
        <w:left w:val="none" w:sz="0" w:space="0" w:color="auto"/>
        <w:bottom w:val="none" w:sz="0" w:space="0" w:color="auto"/>
        <w:right w:val="none" w:sz="0" w:space="0" w:color="auto"/>
      </w:divBdr>
    </w:div>
    <w:div w:id="1549101795">
      <w:bodyDiv w:val="1"/>
      <w:marLeft w:val="0"/>
      <w:marRight w:val="0"/>
      <w:marTop w:val="0"/>
      <w:marBottom w:val="0"/>
      <w:divBdr>
        <w:top w:val="none" w:sz="0" w:space="0" w:color="auto"/>
        <w:left w:val="none" w:sz="0" w:space="0" w:color="auto"/>
        <w:bottom w:val="none" w:sz="0" w:space="0" w:color="auto"/>
        <w:right w:val="none" w:sz="0" w:space="0" w:color="auto"/>
      </w:divBdr>
    </w:div>
    <w:div w:id="1569223893">
      <w:bodyDiv w:val="1"/>
      <w:marLeft w:val="0"/>
      <w:marRight w:val="0"/>
      <w:marTop w:val="0"/>
      <w:marBottom w:val="0"/>
      <w:divBdr>
        <w:top w:val="none" w:sz="0" w:space="0" w:color="auto"/>
        <w:left w:val="none" w:sz="0" w:space="0" w:color="auto"/>
        <w:bottom w:val="none" w:sz="0" w:space="0" w:color="auto"/>
        <w:right w:val="none" w:sz="0" w:space="0" w:color="auto"/>
      </w:divBdr>
    </w:div>
    <w:div w:id="1617325416">
      <w:bodyDiv w:val="1"/>
      <w:marLeft w:val="0"/>
      <w:marRight w:val="0"/>
      <w:marTop w:val="0"/>
      <w:marBottom w:val="0"/>
      <w:divBdr>
        <w:top w:val="none" w:sz="0" w:space="0" w:color="auto"/>
        <w:left w:val="none" w:sz="0" w:space="0" w:color="auto"/>
        <w:bottom w:val="none" w:sz="0" w:space="0" w:color="auto"/>
        <w:right w:val="none" w:sz="0" w:space="0" w:color="auto"/>
      </w:divBdr>
    </w:div>
    <w:div w:id="1767114105">
      <w:bodyDiv w:val="1"/>
      <w:marLeft w:val="0"/>
      <w:marRight w:val="0"/>
      <w:marTop w:val="0"/>
      <w:marBottom w:val="0"/>
      <w:divBdr>
        <w:top w:val="none" w:sz="0" w:space="0" w:color="auto"/>
        <w:left w:val="none" w:sz="0" w:space="0" w:color="auto"/>
        <w:bottom w:val="none" w:sz="0" w:space="0" w:color="auto"/>
        <w:right w:val="none" w:sz="0" w:space="0" w:color="auto"/>
      </w:divBdr>
    </w:div>
    <w:div w:id="1870332786">
      <w:bodyDiv w:val="1"/>
      <w:marLeft w:val="0"/>
      <w:marRight w:val="0"/>
      <w:marTop w:val="0"/>
      <w:marBottom w:val="0"/>
      <w:divBdr>
        <w:top w:val="none" w:sz="0" w:space="0" w:color="auto"/>
        <w:left w:val="none" w:sz="0" w:space="0" w:color="auto"/>
        <w:bottom w:val="none" w:sz="0" w:space="0" w:color="auto"/>
        <w:right w:val="none" w:sz="0" w:space="0" w:color="auto"/>
      </w:divBdr>
    </w:div>
    <w:div w:id="1883858066">
      <w:bodyDiv w:val="1"/>
      <w:marLeft w:val="0"/>
      <w:marRight w:val="0"/>
      <w:marTop w:val="0"/>
      <w:marBottom w:val="0"/>
      <w:divBdr>
        <w:top w:val="none" w:sz="0" w:space="0" w:color="auto"/>
        <w:left w:val="none" w:sz="0" w:space="0" w:color="auto"/>
        <w:bottom w:val="none" w:sz="0" w:space="0" w:color="auto"/>
        <w:right w:val="none" w:sz="0" w:space="0" w:color="auto"/>
      </w:divBdr>
    </w:div>
    <w:div w:id="1955474652">
      <w:bodyDiv w:val="1"/>
      <w:marLeft w:val="0"/>
      <w:marRight w:val="0"/>
      <w:marTop w:val="0"/>
      <w:marBottom w:val="0"/>
      <w:divBdr>
        <w:top w:val="none" w:sz="0" w:space="0" w:color="auto"/>
        <w:left w:val="none" w:sz="0" w:space="0" w:color="auto"/>
        <w:bottom w:val="none" w:sz="0" w:space="0" w:color="auto"/>
        <w:right w:val="none" w:sz="0" w:space="0" w:color="auto"/>
      </w:divBdr>
    </w:div>
    <w:div w:id="21390593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link.springer.com" TargetMode="External"/><Relationship Id="rId13" Type="http://schemas.openxmlformats.org/officeDocument/2006/relationships/hyperlink" Target="https://www.taylorfrancis.com/books/mono/10.1201/9781315384876" TargetMode="External"/><Relationship Id="rId18" Type="http://schemas.openxmlformats.org/officeDocument/2006/relationships/hyperlink" Target="https://www.sciencedirect.com" TargetMode="External"/><Relationship Id="rId3" Type="http://schemas.openxmlformats.org/officeDocument/2006/relationships/settings" Target="settings.xml"/><Relationship Id="rId21" Type="http://schemas.openxmlformats.org/officeDocument/2006/relationships/hyperlink" Target="https://journals.sagepub.com" TargetMode="External"/><Relationship Id="rId7" Type="http://schemas.openxmlformats.org/officeDocument/2006/relationships/hyperlink" Target="https://research.tue.nl" TargetMode="External"/><Relationship Id="rId12" Type="http://schemas.openxmlformats.org/officeDocument/2006/relationships/hyperlink" Target="https://www.sciencedirect.com/science/article/pii/S0950584916301231" TargetMode="External"/><Relationship Id="rId17" Type="http://schemas.openxmlformats.org/officeDocument/2006/relationships/hyperlink" Target="https://www.academia.edu" TargetMode="External"/><Relationship Id="rId2" Type="http://schemas.openxmlformats.org/officeDocument/2006/relationships/styles" Target="styles.xml"/><Relationship Id="rId16" Type="http://schemas.openxmlformats.org/officeDocument/2006/relationships/hyperlink" Target="https://dl.acm.org" TargetMode="External"/><Relationship Id="rId20" Type="http://schemas.openxmlformats.org/officeDocument/2006/relationships/hyperlink" Target="https://www.sciencedirect.com" TargetMode="External"/><Relationship Id="rId1" Type="http://schemas.openxmlformats.org/officeDocument/2006/relationships/numbering" Target="numbering.xml"/><Relationship Id="rId6" Type="http://schemas.openxmlformats.org/officeDocument/2006/relationships/hyperlink" Target="https://link.springer.com" TargetMode="External"/><Relationship Id="rId11" Type="http://schemas.openxmlformats.org/officeDocument/2006/relationships/hyperlink" Target="https://www.emerald.com" TargetMode="External"/><Relationship Id="rId5" Type="http://schemas.openxmlformats.org/officeDocument/2006/relationships/image" Target="media/image1.png"/><Relationship Id="rId15" Type="http://schemas.openxmlformats.org/officeDocument/2006/relationships/hyperlink" Target="https://www.scitepress.org/Papers/2019/82940/82940.pdf" TargetMode="External"/><Relationship Id="rId23" Type="http://schemas.openxmlformats.org/officeDocument/2006/relationships/theme" Target="theme/theme1.xml"/><Relationship Id="rId10" Type="http://schemas.openxmlformats.org/officeDocument/2006/relationships/hyperlink" Target="https://ersj.eu" TargetMode="External"/><Relationship Id="rId19" Type="http://schemas.openxmlformats.org/officeDocument/2006/relationships/hyperlink" Target="https://sol.sbc.org.br" TargetMode="External"/><Relationship Id="rId4" Type="http://schemas.openxmlformats.org/officeDocument/2006/relationships/webSettings" Target="webSettings.xml"/><Relationship Id="rId9" Type="http://schemas.openxmlformats.org/officeDocument/2006/relationships/hyperlink" Target="https://www.emerald.com" TargetMode="External"/><Relationship Id="rId14" Type="http://schemas.openxmlformats.org/officeDocument/2006/relationships/hyperlink" Target="https://ersj.eu/journal/2024"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7608</TotalTime>
  <Pages>1</Pages>
  <Words>3705</Words>
  <Characters>21124</Characters>
  <Application>Microsoft Office Word</Application>
  <DocSecurity>0</DocSecurity>
  <Lines>176</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24780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katleho nthunya</dc:creator>
  <cp:keywords/>
  <dc:description/>
  <cp:lastModifiedBy>katleho nthunya</cp:lastModifiedBy>
  <cp:revision>1</cp:revision>
  <dcterms:created xsi:type="dcterms:W3CDTF">2025-10-30T06:02:00Z</dcterms:created>
  <dcterms:modified xsi:type="dcterms:W3CDTF">2025-11-04T12:50:00Z</dcterms:modified>
</cp:coreProperties>
</file>