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44FC0" w14:textId="66844DA4" w:rsidR="008B3438" w:rsidRDefault="008B3438">
      <w:r>
        <w:t xml:space="preserve">Katleho Nthunya </w:t>
      </w:r>
    </w:p>
    <w:p w14:paraId="6EBAFECE" w14:textId="2978D32C" w:rsidR="008B3438" w:rsidRDefault="008B3438">
      <w:r>
        <w:t xml:space="preserve">HCIN6222 POE </w:t>
      </w:r>
    </w:p>
    <w:p w14:paraId="1B4A07AB" w14:textId="7CA3850F" w:rsidR="008B3438" w:rsidRDefault="008B3438">
      <w:r>
        <w:t xml:space="preserve">ST10301242 </w:t>
      </w:r>
    </w:p>
    <w:p w14:paraId="283493A7" w14:textId="10D98D2E" w:rsidR="008B3438" w:rsidRDefault="008B3438" w:rsidP="008B3438">
      <w:pPr>
        <w:pStyle w:val="Quote"/>
        <w:rPr>
          <w:b/>
          <w:bCs/>
          <w:sz w:val="28"/>
          <w:szCs w:val="28"/>
        </w:rPr>
      </w:pPr>
      <w:r w:rsidRPr="008B3438">
        <w:rPr>
          <w:b/>
          <w:bCs/>
          <w:sz w:val="28"/>
          <w:szCs w:val="28"/>
        </w:rPr>
        <w:t xml:space="preserve">Part 1 </w:t>
      </w:r>
    </w:p>
    <w:p w14:paraId="0509DE9A" w14:textId="2CA6F789" w:rsidR="008B3438" w:rsidRDefault="008B3438" w:rsidP="008B3438">
      <w:pPr>
        <w:pStyle w:val="Quote"/>
        <w:rPr>
          <w:b/>
          <w:bCs/>
          <w:sz w:val="26"/>
          <w:szCs w:val="26"/>
        </w:rPr>
      </w:pPr>
      <w:r w:rsidRPr="008B3438">
        <w:rPr>
          <w:b/>
          <w:bCs/>
          <w:sz w:val="26"/>
          <w:szCs w:val="26"/>
        </w:rPr>
        <w:t xml:space="preserve">Introduction </w:t>
      </w:r>
    </w:p>
    <w:p w14:paraId="1C730070" w14:textId="0819C05F" w:rsidR="008B3438" w:rsidRDefault="004E41DC" w:rsidP="008B3438">
      <w:pPr>
        <w:pStyle w:val="Quote"/>
        <w:rPr>
          <w:sz w:val="24"/>
          <w:szCs w:val="24"/>
        </w:rPr>
      </w:pPr>
      <w:r w:rsidRPr="0094599B">
        <w:rPr>
          <w:sz w:val="24"/>
          <w:szCs w:val="24"/>
        </w:rPr>
        <w:t>The platform aims to support IT students in Business Analysis by providing a clear purpose. It bridges the gap between classroom learning and real-world experience by offering tools and resources resembling business analyst workplaces. The platform fo</w:t>
      </w:r>
      <w:r w:rsidR="0094599B">
        <w:rPr>
          <w:sz w:val="24"/>
          <w:szCs w:val="24"/>
        </w:rPr>
        <w:t>cuse</w:t>
      </w:r>
      <w:r w:rsidRPr="0094599B">
        <w:rPr>
          <w:sz w:val="24"/>
          <w:szCs w:val="24"/>
        </w:rPr>
        <w:t>s</w:t>
      </w:r>
      <w:r w:rsidR="0094599B">
        <w:rPr>
          <w:sz w:val="24"/>
          <w:szCs w:val="24"/>
        </w:rPr>
        <w:t xml:space="preserve"> on</w:t>
      </w:r>
      <w:r w:rsidRPr="0094599B">
        <w:rPr>
          <w:sz w:val="24"/>
          <w:szCs w:val="24"/>
        </w:rPr>
        <w:t xml:space="preserve"> collaboration, teamwork, and essential skills like communication, problem-solving, and teamwork. It includes interactive case studies and offers access to industry best practices </w:t>
      </w:r>
      <w:r w:rsidR="0094599B">
        <w:rPr>
          <w:sz w:val="24"/>
          <w:szCs w:val="24"/>
        </w:rPr>
        <w:t>&amp;</w:t>
      </w:r>
      <w:r w:rsidRPr="0094599B">
        <w:rPr>
          <w:sz w:val="24"/>
          <w:szCs w:val="24"/>
        </w:rPr>
        <w:t xml:space="preserve"> guides, preparing students for future roles in business analysis</w:t>
      </w:r>
      <w:r w:rsidR="0094599B" w:rsidRPr="0094599B">
        <w:rPr>
          <w:sz w:val="24"/>
          <w:szCs w:val="24"/>
        </w:rPr>
        <w:t xml:space="preserve">. Students are provided with a comprehensive training ground that combines theoretical knowledge </w:t>
      </w:r>
      <w:r w:rsidR="0094599B">
        <w:rPr>
          <w:sz w:val="24"/>
          <w:szCs w:val="24"/>
        </w:rPr>
        <w:t xml:space="preserve">together </w:t>
      </w:r>
      <w:r w:rsidR="0094599B" w:rsidRPr="0094599B">
        <w:rPr>
          <w:sz w:val="24"/>
          <w:szCs w:val="24"/>
        </w:rPr>
        <w:t xml:space="preserve">with practical application, preparing them for future workplaces. The website maintains a formal tone, adhering to Harvard </w:t>
      </w:r>
      <w:r w:rsidR="0094599B">
        <w:rPr>
          <w:sz w:val="24"/>
          <w:szCs w:val="24"/>
        </w:rPr>
        <w:t xml:space="preserve">Anglia </w:t>
      </w:r>
      <w:r w:rsidR="0094599B" w:rsidRPr="0094599B">
        <w:rPr>
          <w:sz w:val="24"/>
          <w:szCs w:val="24"/>
        </w:rPr>
        <w:t xml:space="preserve">citation standards, and simulates real-world environments to develop skills and professionalism. </w:t>
      </w:r>
    </w:p>
    <w:p w14:paraId="5EF5B980" w14:textId="018E6CD9" w:rsidR="00A34CAB" w:rsidRDefault="00A34CAB" w:rsidP="00A34CAB">
      <w:pPr>
        <w:pStyle w:val="Quote"/>
        <w:rPr>
          <w:b/>
          <w:bCs/>
          <w:sz w:val="26"/>
          <w:szCs w:val="26"/>
        </w:rPr>
      </w:pPr>
      <w:r w:rsidRPr="00A34CAB">
        <w:rPr>
          <w:b/>
          <w:bCs/>
          <w:sz w:val="26"/>
          <w:szCs w:val="26"/>
        </w:rPr>
        <w:t>Description of the prototype features</w:t>
      </w:r>
    </w:p>
    <w:p w14:paraId="4FF279A1" w14:textId="77D06B5C" w:rsidR="00A34CAB" w:rsidRDefault="00C54A21" w:rsidP="00A34CAB">
      <w:pPr>
        <w:rPr>
          <w:b/>
          <w:bCs/>
          <w:sz w:val="24"/>
          <w:szCs w:val="24"/>
        </w:rPr>
      </w:pPr>
      <w:r w:rsidRPr="00C54A21">
        <w:rPr>
          <w:b/>
          <w:bCs/>
          <w:sz w:val="24"/>
          <w:szCs w:val="24"/>
        </w:rPr>
        <w:t>Interactive Scenario Repository</w:t>
      </w:r>
    </w:p>
    <w:p w14:paraId="11B3B37E" w14:textId="1A1F99E9" w:rsidR="002476E2" w:rsidRPr="002476E2" w:rsidRDefault="002476E2" w:rsidP="00A34CAB">
      <w:pPr>
        <w:rPr>
          <w:sz w:val="24"/>
          <w:szCs w:val="24"/>
        </w:rPr>
      </w:pPr>
      <w:r w:rsidRPr="002476E2">
        <w:rPr>
          <w:sz w:val="24"/>
          <w:szCs w:val="24"/>
        </w:rPr>
        <w:t>Users can examine comprehensive data sets from a variety of industries using the Interactive Case Study Repository, a platform that provides a vast array of real-world business difficulties. Students, professionals, and academics who wish to observe real-world implementations of business concepts will find this feature especially helpful. Users can hone their critical thinking, data analysis, and decision-making abilities by working with real-world data. Additionally, the repository offers insights into contemporary business trends and difficulties, which enhances the relevance and interest of the learning process. Users improve their analytical abilities and increase their comprehension of business dynamics in various industries by looking through these case studies (Milani, 2019).</w:t>
      </w:r>
    </w:p>
    <w:p w14:paraId="6DC4052E" w14:textId="0BCE23BB" w:rsidR="00C54A21" w:rsidRPr="006A0AFC" w:rsidRDefault="006A0AFC" w:rsidP="00A34CAB">
      <w:pPr>
        <w:rPr>
          <w:b/>
          <w:bCs/>
          <w:sz w:val="24"/>
          <w:szCs w:val="24"/>
        </w:rPr>
      </w:pPr>
      <w:r w:rsidRPr="006A0AFC">
        <w:rPr>
          <w:b/>
          <w:bCs/>
          <w:sz w:val="24"/>
          <w:szCs w:val="24"/>
        </w:rPr>
        <w:t>Requirement gathering toolkit</w:t>
      </w:r>
    </w:p>
    <w:p w14:paraId="1BCDF709" w14:textId="114DEB8C" w:rsidR="008B3438" w:rsidRDefault="00DF535C">
      <w:pPr>
        <w:rPr>
          <w:sz w:val="24"/>
          <w:szCs w:val="24"/>
        </w:rPr>
      </w:pPr>
      <w:r w:rsidRPr="00DF535C">
        <w:rPr>
          <w:sz w:val="24"/>
          <w:szCs w:val="24"/>
        </w:rPr>
        <w:t xml:space="preserve">The Requirements Gathering Toolkit is vital for project development teams, offering templates and guidance to define system or product requirements. It addresses both functional (e.g., website login) and non-functional (e.g., speed, security) aspects. By standardizing data collection methods, such as interviews and surveys, this toolkit minimizes misunderstandings and enhances communication (Howell, Beach and Rezgui, 2021). It also ensures clarity on project goals, ultimately reducing costly mistakes and aiding in identifying constraints and stakeholder needs. A comprehensive toolkit helps teams identify gaps early, enhancing project planning accuracy (Casey, 2023). Moreover, it prevents </w:t>
      </w:r>
      <w:r w:rsidRPr="00DF535C">
        <w:rPr>
          <w:sz w:val="24"/>
          <w:szCs w:val="24"/>
        </w:rPr>
        <w:lastRenderedPageBreak/>
        <w:t xml:space="preserve">misinterpretations, improves outcomes, and ensures final products meet business expectations, making the development process more organized and efficient. </w:t>
      </w:r>
    </w:p>
    <w:p w14:paraId="75521067" w14:textId="11963E55" w:rsidR="00DF535C" w:rsidRPr="00F85396" w:rsidRDefault="00F85396">
      <w:pPr>
        <w:rPr>
          <w:b/>
          <w:bCs/>
          <w:sz w:val="24"/>
          <w:szCs w:val="24"/>
        </w:rPr>
      </w:pPr>
      <w:r w:rsidRPr="00F85396">
        <w:rPr>
          <w:b/>
          <w:bCs/>
          <w:sz w:val="24"/>
          <w:szCs w:val="24"/>
        </w:rPr>
        <w:t xml:space="preserve">Collaboration team </w:t>
      </w:r>
    </w:p>
    <w:p w14:paraId="518A78FD" w14:textId="4F56959B" w:rsidR="00DF535C" w:rsidRPr="009E6B1A" w:rsidRDefault="00F85396" w:rsidP="009E6B1A">
      <w:pPr>
        <w:pStyle w:val="ListParagraph"/>
        <w:numPr>
          <w:ilvl w:val="0"/>
          <w:numId w:val="3"/>
        </w:numPr>
        <w:rPr>
          <w:sz w:val="24"/>
          <w:szCs w:val="24"/>
        </w:rPr>
      </w:pPr>
      <w:r w:rsidRPr="009E6B1A">
        <w:rPr>
          <w:sz w:val="24"/>
          <w:szCs w:val="24"/>
        </w:rPr>
        <w:t>Allows students to discuss BA methodologies, share insights, and troubleshoot tasks.</w:t>
      </w:r>
    </w:p>
    <w:p w14:paraId="47B64D0D" w14:textId="250EC442" w:rsidR="00F85396" w:rsidRPr="009E6B1A" w:rsidRDefault="00F85396" w:rsidP="009E6B1A">
      <w:pPr>
        <w:pStyle w:val="ListParagraph"/>
        <w:numPr>
          <w:ilvl w:val="0"/>
          <w:numId w:val="3"/>
        </w:numPr>
        <w:rPr>
          <w:sz w:val="24"/>
          <w:szCs w:val="24"/>
        </w:rPr>
      </w:pPr>
      <w:r w:rsidRPr="009E6B1A">
        <w:rPr>
          <w:sz w:val="24"/>
          <w:szCs w:val="24"/>
        </w:rPr>
        <w:t>Project Mana</w:t>
      </w:r>
      <w:r w:rsidR="007F7EC4" w:rsidRPr="009E6B1A">
        <w:rPr>
          <w:sz w:val="24"/>
          <w:szCs w:val="24"/>
        </w:rPr>
        <w:t>gement Section</w:t>
      </w:r>
    </w:p>
    <w:p w14:paraId="428BCBAE" w14:textId="27CFFF21" w:rsidR="007F7EC4" w:rsidRPr="009E6B1A" w:rsidRDefault="007F7EC4" w:rsidP="009E6B1A">
      <w:pPr>
        <w:pStyle w:val="ListParagraph"/>
        <w:numPr>
          <w:ilvl w:val="0"/>
          <w:numId w:val="3"/>
        </w:numPr>
        <w:rPr>
          <w:sz w:val="24"/>
          <w:szCs w:val="24"/>
        </w:rPr>
      </w:pPr>
      <w:r w:rsidRPr="009E6B1A">
        <w:rPr>
          <w:sz w:val="24"/>
          <w:szCs w:val="24"/>
        </w:rPr>
        <w:t xml:space="preserve">Progress Tracker </w:t>
      </w:r>
    </w:p>
    <w:p w14:paraId="717B4F6E" w14:textId="32E7CF70" w:rsidR="007F7EC4" w:rsidRDefault="007F7EC4" w:rsidP="007F7EC4">
      <w:pPr>
        <w:pStyle w:val="Quote"/>
        <w:rPr>
          <w:b/>
          <w:bCs/>
          <w:sz w:val="26"/>
          <w:szCs w:val="26"/>
        </w:rPr>
      </w:pPr>
      <w:r w:rsidRPr="007F7EC4">
        <w:rPr>
          <w:b/>
          <w:bCs/>
          <w:sz w:val="26"/>
          <w:szCs w:val="26"/>
        </w:rPr>
        <w:t>Usability Goals</w:t>
      </w:r>
    </w:p>
    <w:p w14:paraId="7EF6006C" w14:textId="77777777" w:rsidR="00E03528" w:rsidRPr="00E03528" w:rsidRDefault="00E03528" w:rsidP="00E03528">
      <w:pPr>
        <w:rPr>
          <w:sz w:val="24"/>
          <w:szCs w:val="24"/>
        </w:rPr>
      </w:pPr>
      <w:r w:rsidRPr="00E03528">
        <w:rPr>
          <w:sz w:val="24"/>
          <w:szCs w:val="24"/>
        </w:rPr>
        <w:t>The website will prioritize the following usability goals:</w:t>
      </w:r>
    </w:p>
    <w:p w14:paraId="3E7B35EB" w14:textId="7198E263" w:rsidR="00E03528" w:rsidRPr="00E03528" w:rsidRDefault="00E03528" w:rsidP="00E03528">
      <w:pPr>
        <w:rPr>
          <w:sz w:val="24"/>
          <w:szCs w:val="24"/>
        </w:rPr>
      </w:pPr>
      <w:r w:rsidRPr="001649B1">
        <w:rPr>
          <w:b/>
          <w:bCs/>
          <w:sz w:val="24"/>
          <w:szCs w:val="24"/>
        </w:rPr>
        <w:t>Effectiveness</w:t>
      </w:r>
      <w:r w:rsidRPr="00E03528">
        <w:rPr>
          <w:sz w:val="24"/>
          <w:szCs w:val="24"/>
        </w:rPr>
        <w:t xml:space="preserve"> – </w:t>
      </w:r>
      <w:r w:rsidR="00B04DF0" w:rsidRPr="00B04DF0">
        <w:rPr>
          <w:sz w:val="24"/>
          <w:szCs w:val="24"/>
        </w:rPr>
        <w:t xml:space="preserve">All tools will be clearly labelled and easy to use, helping users achieve tasks with minimal errors. This aligns with Mayhew’s usability lifecycle, which emphasizes capturing usability goals early in a style guide to guide consistent design throughout the development process </w:t>
      </w:r>
      <w:r w:rsidR="00B04DF0">
        <w:rPr>
          <w:sz w:val="24"/>
          <w:szCs w:val="24"/>
        </w:rPr>
        <w:t>according to</w:t>
      </w:r>
      <w:r w:rsidR="00B04DF0" w:rsidRPr="00B04DF0">
        <w:rPr>
          <w:sz w:val="24"/>
          <w:szCs w:val="24"/>
        </w:rPr>
        <w:t xml:space="preserve"> Preece</w:t>
      </w:r>
      <w:r w:rsidR="00B04DF0">
        <w:rPr>
          <w:sz w:val="24"/>
          <w:szCs w:val="24"/>
        </w:rPr>
        <w:t xml:space="preserve"> et al.</w:t>
      </w:r>
      <w:r w:rsidR="00B04DF0" w:rsidRPr="00B04DF0">
        <w:rPr>
          <w:sz w:val="24"/>
          <w:szCs w:val="24"/>
        </w:rPr>
        <w:t xml:space="preserve">, </w:t>
      </w:r>
      <w:r w:rsidR="00B04DF0">
        <w:rPr>
          <w:sz w:val="24"/>
          <w:szCs w:val="24"/>
        </w:rPr>
        <w:t>(</w:t>
      </w:r>
      <w:r w:rsidR="00B04DF0" w:rsidRPr="00B04DF0">
        <w:rPr>
          <w:sz w:val="24"/>
          <w:szCs w:val="24"/>
        </w:rPr>
        <w:t>2015).</w:t>
      </w:r>
      <w:r w:rsidR="00B04DF0">
        <w:rPr>
          <w:sz w:val="24"/>
          <w:szCs w:val="24"/>
        </w:rPr>
        <w:t xml:space="preserve"> </w:t>
      </w:r>
      <w:r w:rsidRPr="00E03528">
        <w:rPr>
          <w:sz w:val="24"/>
          <w:szCs w:val="24"/>
        </w:rPr>
        <w:t>All tools will be clearly labelled and easy to use, helping users achieve tasks with minimal errors.</w:t>
      </w:r>
    </w:p>
    <w:p w14:paraId="17D05237" w14:textId="7D107E93" w:rsidR="00E03528" w:rsidRPr="00E03528" w:rsidRDefault="00E03528" w:rsidP="00E03528">
      <w:pPr>
        <w:rPr>
          <w:sz w:val="24"/>
          <w:szCs w:val="24"/>
        </w:rPr>
      </w:pPr>
      <w:r w:rsidRPr="001649B1">
        <w:rPr>
          <w:b/>
          <w:bCs/>
          <w:sz w:val="24"/>
          <w:szCs w:val="24"/>
        </w:rPr>
        <w:t xml:space="preserve">Efficiency </w:t>
      </w:r>
      <w:r w:rsidRPr="00E03528">
        <w:rPr>
          <w:sz w:val="24"/>
          <w:szCs w:val="24"/>
        </w:rPr>
        <w:t>–</w:t>
      </w:r>
      <w:r w:rsidR="00AE60E5">
        <w:rPr>
          <w:sz w:val="24"/>
          <w:szCs w:val="24"/>
        </w:rPr>
        <w:t xml:space="preserve"> </w:t>
      </w:r>
      <w:r w:rsidR="00AE60E5" w:rsidRPr="00AE60E5">
        <w:rPr>
          <w:sz w:val="24"/>
          <w:szCs w:val="24"/>
        </w:rPr>
        <w:t>Processes like uploading project files or accessing templates will require minimal steps. A streamlined flow ensures that the user journey remains frictionless during key actions like file management and collaboration</w:t>
      </w:r>
      <w:r w:rsidR="00AE60E5">
        <w:rPr>
          <w:sz w:val="24"/>
          <w:szCs w:val="24"/>
        </w:rPr>
        <w:t xml:space="preserve"> </w:t>
      </w:r>
      <w:r w:rsidR="00AE60E5" w:rsidRPr="00AE60E5">
        <w:rPr>
          <w:sz w:val="24"/>
          <w:szCs w:val="24"/>
        </w:rPr>
        <w:t>Nazar</w:t>
      </w:r>
      <w:r w:rsidR="00AE60E5">
        <w:rPr>
          <w:sz w:val="24"/>
          <w:szCs w:val="24"/>
        </w:rPr>
        <w:t xml:space="preserve"> et al., (20</w:t>
      </w:r>
      <w:r w:rsidR="009E6B1A">
        <w:rPr>
          <w:sz w:val="24"/>
          <w:szCs w:val="24"/>
        </w:rPr>
        <w:t>21)</w:t>
      </w:r>
      <w:r w:rsidR="00AE60E5">
        <w:rPr>
          <w:sz w:val="24"/>
          <w:szCs w:val="24"/>
        </w:rPr>
        <w:t xml:space="preserve">. </w:t>
      </w:r>
      <w:r w:rsidRPr="00E03528">
        <w:rPr>
          <w:sz w:val="24"/>
          <w:szCs w:val="24"/>
        </w:rPr>
        <w:t>Processes like uploading project files or accessing templates will require minimal steps.</w:t>
      </w:r>
    </w:p>
    <w:p w14:paraId="2DEEB34A" w14:textId="75581371" w:rsidR="00E03528" w:rsidRPr="00E03528" w:rsidRDefault="00E03528" w:rsidP="00E03528">
      <w:pPr>
        <w:rPr>
          <w:sz w:val="24"/>
          <w:szCs w:val="24"/>
        </w:rPr>
      </w:pPr>
      <w:r w:rsidRPr="001649B1">
        <w:rPr>
          <w:b/>
          <w:bCs/>
          <w:sz w:val="24"/>
          <w:szCs w:val="24"/>
        </w:rPr>
        <w:t>Learnability</w:t>
      </w:r>
      <w:r w:rsidRPr="00E03528">
        <w:rPr>
          <w:sz w:val="24"/>
          <w:szCs w:val="24"/>
        </w:rPr>
        <w:t xml:space="preserve"> – The layout and navigation will be intuitive, allowing first-time users to grasp functionality quickly.</w:t>
      </w:r>
      <w:r w:rsidR="00AE60E5">
        <w:rPr>
          <w:sz w:val="24"/>
          <w:szCs w:val="24"/>
        </w:rPr>
        <w:t xml:space="preserve"> According to </w:t>
      </w:r>
      <w:r w:rsidR="00AE60E5" w:rsidRPr="00AE60E5">
        <w:rPr>
          <w:sz w:val="24"/>
          <w:szCs w:val="24"/>
        </w:rPr>
        <w:t>ED Mekler</w:t>
      </w:r>
      <w:r w:rsidR="00AE60E5">
        <w:rPr>
          <w:sz w:val="24"/>
          <w:szCs w:val="24"/>
        </w:rPr>
        <w:t xml:space="preserve"> and</w:t>
      </w:r>
      <w:r w:rsidR="00AE60E5" w:rsidRPr="00AE60E5">
        <w:rPr>
          <w:sz w:val="24"/>
          <w:szCs w:val="24"/>
        </w:rPr>
        <w:t xml:space="preserve"> K Hornb</w:t>
      </w:r>
      <w:r w:rsidR="00AE60E5">
        <w:rPr>
          <w:sz w:val="24"/>
          <w:szCs w:val="24"/>
        </w:rPr>
        <w:t>ae</w:t>
      </w:r>
      <w:r w:rsidR="00AE60E5" w:rsidRPr="00AE60E5">
        <w:rPr>
          <w:sz w:val="24"/>
          <w:szCs w:val="24"/>
        </w:rPr>
        <w:t>k</w:t>
      </w:r>
      <w:r w:rsidR="00AE60E5">
        <w:rPr>
          <w:sz w:val="24"/>
          <w:szCs w:val="24"/>
        </w:rPr>
        <w:t xml:space="preserve"> (2019)</w:t>
      </w:r>
      <w:r w:rsidR="00AE60E5" w:rsidRPr="00AE60E5">
        <w:t xml:space="preserve"> </w:t>
      </w:r>
      <w:r w:rsidR="00AE60E5" w:rsidRPr="00AE60E5">
        <w:rPr>
          <w:sz w:val="24"/>
          <w:szCs w:val="24"/>
        </w:rPr>
        <w:t>The layout and navigation will be intuitive, allowing first-time users to grasp functionality quickly. Considering that users may range from novices to experts, interaction design must cater to varying levels of experience</w:t>
      </w:r>
      <w:r w:rsidR="00AE60E5">
        <w:rPr>
          <w:sz w:val="24"/>
          <w:szCs w:val="24"/>
        </w:rPr>
        <w:t xml:space="preserve">.  </w:t>
      </w:r>
    </w:p>
    <w:p w14:paraId="020DDBC0" w14:textId="7B75D09C" w:rsidR="007F7EC4" w:rsidRDefault="00E03528" w:rsidP="00E03528">
      <w:pPr>
        <w:rPr>
          <w:sz w:val="24"/>
          <w:szCs w:val="24"/>
        </w:rPr>
      </w:pPr>
      <w:r w:rsidRPr="001649B1">
        <w:rPr>
          <w:b/>
          <w:bCs/>
          <w:sz w:val="24"/>
          <w:szCs w:val="24"/>
        </w:rPr>
        <w:t>Satisfaction</w:t>
      </w:r>
      <w:r w:rsidRPr="00E03528">
        <w:rPr>
          <w:sz w:val="24"/>
          <w:szCs w:val="24"/>
        </w:rPr>
        <w:t xml:space="preserve"> – </w:t>
      </w:r>
      <w:r w:rsidR="009E6B1A" w:rsidRPr="009E6B1A">
        <w:rPr>
          <w:sz w:val="24"/>
          <w:szCs w:val="24"/>
        </w:rPr>
        <w:t>A visually clean interface with consistent design ensures a smooth user experience, reducing frustration</w:t>
      </w:r>
      <w:r w:rsidR="009E6B1A">
        <w:rPr>
          <w:sz w:val="24"/>
          <w:szCs w:val="24"/>
        </w:rPr>
        <w:t xml:space="preserve"> as </w:t>
      </w:r>
      <w:r w:rsidR="009E6B1A" w:rsidRPr="009E6B1A">
        <w:rPr>
          <w:sz w:val="24"/>
          <w:szCs w:val="24"/>
        </w:rPr>
        <w:t>Errity</w:t>
      </w:r>
      <w:r w:rsidR="009E6B1A">
        <w:rPr>
          <w:sz w:val="24"/>
          <w:szCs w:val="24"/>
        </w:rPr>
        <w:t xml:space="preserve"> (2024) mentions</w:t>
      </w:r>
      <w:r w:rsidR="009E6B1A" w:rsidRPr="009E6B1A">
        <w:rPr>
          <w:sz w:val="24"/>
          <w:szCs w:val="24"/>
        </w:rPr>
        <w:t>. This corresponds with environmental usability considerations like minimizing distraction in public or shared spaces, such as when users access the site from a busy computer lab or noisy co-working hub</w:t>
      </w:r>
      <w:r w:rsidR="009E6B1A">
        <w:rPr>
          <w:sz w:val="24"/>
          <w:szCs w:val="24"/>
        </w:rPr>
        <w:t>.</w:t>
      </w:r>
    </w:p>
    <w:p w14:paraId="0004EF86" w14:textId="626C61EF" w:rsidR="00E03528" w:rsidRPr="00E03528" w:rsidRDefault="00E03528" w:rsidP="00E03528">
      <w:pPr>
        <w:pStyle w:val="Quote"/>
        <w:rPr>
          <w:b/>
          <w:bCs/>
          <w:sz w:val="26"/>
          <w:szCs w:val="26"/>
        </w:rPr>
      </w:pPr>
      <w:r w:rsidRPr="00E03528">
        <w:rPr>
          <w:b/>
          <w:bCs/>
          <w:sz w:val="26"/>
          <w:szCs w:val="26"/>
        </w:rPr>
        <w:t>Desirable Aspects</w:t>
      </w:r>
    </w:p>
    <w:p w14:paraId="1C14C56A" w14:textId="77777777" w:rsidR="00E03528" w:rsidRPr="009E6B1A" w:rsidRDefault="00E03528" w:rsidP="00E03528">
      <w:pPr>
        <w:rPr>
          <w:b/>
          <w:bCs/>
          <w:sz w:val="24"/>
          <w:szCs w:val="24"/>
        </w:rPr>
      </w:pPr>
      <w:r w:rsidRPr="009E6B1A">
        <w:rPr>
          <w:b/>
          <w:bCs/>
          <w:sz w:val="24"/>
          <w:szCs w:val="24"/>
        </w:rPr>
        <w:t>The UX will be designed to:</w:t>
      </w:r>
    </w:p>
    <w:p w14:paraId="124749E6" w14:textId="31A13394" w:rsidR="001649B1" w:rsidRPr="001649B1" w:rsidRDefault="001649B1" w:rsidP="001649B1">
      <w:pPr>
        <w:rPr>
          <w:sz w:val="24"/>
          <w:szCs w:val="24"/>
        </w:rPr>
      </w:pPr>
      <w:r w:rsidRPr="001649B1">
        <w:rPr>
          <w:sz w:val="24"/>
          <w:szCs w:val="24"/>
        </w:rPr>
        <w:t>Provide a sense of achievement through gamified badges and progress bars, encouraging emotional engagement and motivation.</w:t>
      </w:r>
    </w:p>
    <w:p w14:paraId="6F6CBDAF" w14:textId="54674C29" w:rsidR="001649B1" w:rsidRPr="001649B1" w:rsidRDefault="001649B1" w:rsidP="001649B1">
      <w:pPr>
        <w:rPr>
          <w:sz w:val="24"/>
          <w:szCs w:val="24"/>
        </w:rPr>
      </w:pPr>
      <w:r w:rsidRPr="001649B1">
        <w:rPr>
          <w:sz w:val="24"/>
          <w:szCs w:val="24"/>
        </w:rPr>
        <w:t>Offer clarity and focus with minimal distractions and well-organized content, supported by principles outlined by Mullet and Sano (1995).</w:t>
      </w:r>
    </w:p>
    <w:p w14:paraId="764B636A" w14:textId="6EB84910" w:rsidR="009E6B1A" w:rsidRPr="001649B1" w:rsidRDefault="001649B1" w:rsidP="001649B1">
      <w:pPr>
        <w:rPr>
          <w:sz w:val="24"/>
          <w:szCs w:val="24"/>
        </w:rPr>
      </w:pPr>
      <w:r w:rsidRPr="001649B1">
        <w:rPr>
          <w:sz w:val="24"/>
          <w:szCs w:val="24"/>
        </w:rPr>
        <w:t>Support community-building with discussion sections and peer feedback features, enhancing sociability and collaboration as emphasized.</w:t>
      </w:r>
    </w:p>
    <w:p w14:paraId="16E0E7A4" w14:textId="1571795E" w:rsidR="00E03528" w:rsidRPr="001649B1" w:rsidRDefault="001649B1" w:rsidP="001649B1">
      <w:pPr>
        <w:rPr>
          <w:sz w:val="24"/>
          <w:szCs w:val="24"/>
        </w:rPr>
      </w:pPr>
      <w:r w:rsidRPr="001649B1">
        <w:rPr>
          <w:sz w:val="24"/>
          <w:szCs w:val="24"/>
        </w:rPr>
        <w:t>Ensure users feel engaged through responsive design and micro-animations, which can help elicit positive emotional responses (Santos dos Santos et al., 2022).</w:t>
      </w:r>
    </w:p>
    <w:p w14:paraId="688623D2" w14:textId="77777777" w:rsidR="001649B1" w:rsidRPr="00190EDE" w:rsidRDefault="001649B1" w:rsidP="001649B1"/>
    <w:p w14:paraId="258F4E9B" w14:textId="5F11682B" w:rsidR="009B69A2" w:rsidRPr="009B69A2" w:rsidRDefault="009B69A2" w:rsidP="009B69A2">
      <w:pPr>
        <w:rPr>
          <w:b/>
          <w:bCs/>
          <w:sz w:val="24"/>
          <w:szCs w:val="24"/>
        </w:rPr>
      </w:pPr>
      <w:r w:rsidRPr="009B69A2">
        <w:rPr>
          <w:b/>
          <w:bCs/>
          <w:sz w:val="24"/>
          <w:szCs w:val="24"/>
        </w:rPr>
        <w:t>The website design will follow these principles:</w:t>
      </w:r>
    </w:p>
    <w:p w14:paraId="4C5A3B55" w14:textId="401E2229" w:rsidR="009B69A2" w:rsidRPr="009B69A2" w:rsidRDefault="009B69A2" w:rsidP="009B69A2">
      <w:pPr>
        <w:pStyle w:val="ListParagraph"/>
        <w:numPr>
          <w:ilvl w:val="0"/>
          <w:numId w:val="1"/>
        </w:numPr>
        <w:rPr>
          <w:sz w:val="24"/>
          <w:szCs w:val="24"/>
        </w:rPr>
      </w:pPr>
      <w:r w:rsidRPr="009B69A2">
        <w:rPr>
          <w:sz w:val="24"/>
          <w:szCs w:val="24"/>
        </w:rPr>
        <w:t>Consistency – Layout, color scheme, and navigation are uniform across pages, reflecting cognitive principles for interface design (Mullet and Sano, 1995).</w:t>
      </w:r>
    </w:p>
    <w:p w14:paraId="55F10C13" w14:textId="4194D1A6" w:rsidR="009B69A2" w:rsidRPr="009B69A2" w:rsidRDefault="009B69A2" w:rsidP="009B69A2">
      <w:pPr>
        <w:pStyle w:val="ListParagraph"/>
        <w:numPr>
          <w:ilvl w:val="0"/>
          <w:numId w:val="1"/>
        </w:numPr>
        <w:rPr>
          <w:sz w:val="24"/>
          <w:szCs w:val="24"/>
        </w:rPr>
      </w:pPr>
      <w:r w:rsidRPr="009B69A2">
        <w:rPr>
          <w:sz w:val="24"/>
          <w:szCs w:val="24"/>
        </w:rPr>
        <w:t>Feedback – Users receive instant responses (example: pop-up confirmations) after submitting tasks or posts, as suggested in interaction design models (Carroll, 1991).</w:t>
      </w:r>
    </w:p>
    <w:p w14:paraId="293EF6FF" w14:textId="5F33573C" w:rsidR="009B69A2" w:rsidRPr="009B69A2" w:rsidRDefault="009B69A2" w:rsidP="009B69A2">
      <w:pPr>
        <w:pStyle w:val="ListParagraph"/>
        <w:numPr>
          <w:ilvl w:val="0"/>
          <w:numId w:val="1"/>
        </w:numPr>
        <w:rPr>
          <w:sz w:val="24"/>
          <w:szCs w:val="24"/>
        </w:rPr>
      </w:pPr>
      <w:r w:rsidRPr="009B69A2">
        <w:rPr>
          <w:sz w:val="24"/>
          <w:szCs w:val="24"/>
        </w:rPr>
        <w:t>Visibility of System Status – Users will see loading indicators and progress markers, keeping them informed of system processes (Carroll, 1991).</w:t>
      </w:r>
    </w:p>
    <w:p w14:paraId="0CAE5BE5" w14:textId="6F966BDA" w:rsidR="00190EDE" w:rsidRPr="009B69A2" w:rsidRDefault="009B69A2" w:rsidP="009B69A2">
      <w:pPr>
        <w:pStyle w:val="ListParagraph"/>
        <w:numPr>
          <w:ilvl w:val="0"/>
          <w:numId w:val="1"/>
        </w:numPr>
        <w:rPr>
          <w:sz w:val="24"/>
          <w:szCs w:val="24"/>
        </w:rPr>
      </w:pPr>
      <w:r w:rsidRPr="009B69A2">
        <w:rPr>
          <w:sz w:val="24"/>
          <w:szCs w:val="24"/>
        </w:rPr>
        <w:t>Affordance – Buttons, links, and tools will be clearly distinguishable and prompt the correct actions, aligning with usability heuristics and cognitive design rules (Mullet and Sano, 1995).</w:t>
      </w:r>
    </w:p>
    <w:p w14:paraId="078E6851" w14:textId="659B5C70" w:rsidR="00190EDE" w:rsidRDefault="00190EDE" w:rsidP="00190EDE">
      <w:pPr>
        <w:pStyle w:val="Quote"/>
        <w:rPr>
          <w:b/>
          <w:bCs/>
          <w:i w:val="0"/>
          <w:iCs w:val="0"/>
          <w:sz w:val="26"/>
          <w:szCs w:val="26"/>
        </w:rPr>
      </w:pPr>
      <w:r w:rsidRPr="00190EDE">
        <w:rPr>
          <w:b/>
          <w:bCs/>
          <w:i w:val="0"/>
          <w:iCs w:val="0"/>
          <w:sz w:val="26"/>
          <w:szCs w:val="26"/>
        </w:rPr>
        <w:t>Interaction Types</w:t>
      </w:r>
    </w:p>
    <w:p w14:paraId="7F48F0C3" w14:textId="0FF692D7" w:rsidR="009B69A2" w:rsidRPr="009B69A2" w:rsidRDefault="009B69A2" w:rsidP="009B69A2">
      <w:pPr>
        <w:rPr>
          <w:sz w:val="24"/>
          <w:szCs w:val="24"/>
        </w:rPr>
      </w:pPr>
      <w:r w:rsidRPr="009B69A2">
        <w:rPr>
          <w:b/>
          <w:bCs/>
          <w:sz w:val="24"/>
          <w:szCs w:val="24"/>
        </w:rPr>
        <w:t>Instructing</w:t>
      </w:r>
      <w:r w:rsidRPr="009B69A2">
        <w:rPr>
          <w:sz w:val="24"/>
          <w:szCs w:val="24"/>
        </w:rPr>
        <w:t xml:space="preserve"> – Users can give commands by clicking buttons (e</w:t>
      </w:r>
      <w:r>
        <w:rPr>
          <w:sz w:val="24"/>
          <w:szCs w:val="24"/>
        </w:rPr>
        <w:t>xample:</w:t>
      </w:r>
      <w:r w:rsidRPr="009B69A2">
        <w:rPr>
          <w:sz w:val="24"/>
          <w:szCs w:val="24"/>
        </w:rPr>
        <w:t xml:space="preserve"> submit, upload), fitting into basic interaction types (Preece et al., 2015).</w:t>
      </w:r>
    </w:p>
    <w:p w14:paraId="1943C63E" w14:textId="672ABEF8" w:rsidR="009B69A2" w:rsidRPr="009B69A2" w:rsidRDefault="009B69A2" w:rsidP="009B69A2">
      <w:pPr>
        <w:rPr>
          <w:sz w:val="24"/>
          <w:szCs w:val="24"/>
        </w:rPr>
      </w:pPr>
      <w:r w:rsidRPr="009B69A2">
        <w:rPr>
          <w:b/>
          <w:bCs/>
          <w:sz w:val="24"/>
          <w:szCs w:val="24"/>
        </w:rPr>
        <w:t>Conversing</w:t>
      </w:r>
      <w:r w:rsidRPr="009B69A2">
        <w:rPr>
          <w:sz w:val="24"/>
          <w:szCs w:val="24"/>
        </w:rPr>
        <w:t xml:space="preserve"> – Chatbot assistance for BA-related queries supports natural dialogue and problem-solving.</w:t>
      </w:r>
    </w:p>
    <w:p w14:paraId="51E2CDFC" w14:textId="36B4B3D9" w:rsidR="009B69A2" w:rsidRPr="009B69A2" w:rsidRDefault="009B69A2" w:rsidP="009B69A2">
      <w:pPr>
        <w:rPr>
          <w:sz w:val="24"/>
          <w:szCs w:val="24"/>
        </w:rPr>
      </w:pPr>
      <w:r w:rsidRPr="009B69A2">
        <w:rPr>
          <w:b/>
          <w:bCs/>
          <w:sz w:val="24"/>
          <w:szCs w:val="24"/>
        </w:rPr>
        <w:t>Manipulating</w:t>
      </w:r>
      <w:r w:rsidRPr="009B69A2">
        <w:rPr>
          <w:sz w:val="24"/>
          <w:szCs w:val="24"/>
        </w:rPr>
        <w:t xml:space="preserve"> – Drag-and-drop functionality in simulation exercises (e.g.</w:t>
      </w:r>
      <w:r>
        <w:rPr>
          <w:sz w:val="24"/>
          <w:szCs w:val="24"/>
        </w:rPr>
        <w:t>,</w:t>
      </w:r>
      <w:r w:rsidRPr="009B69A2">
        <w:rPr>
          <w:sz w:val="24"/>
          <w:szCs w:val="24"/>
        </w:rPr>
        <w:t xml:space="preserve"> process diagramming) encourages intuitive and direct user interaction.</w:t>
      </w:r>
    </w:p>
    <w:p w14:paraId="14362D66" w14:textId="05053017" w:rsidR="00190EDE" w:rsidRPr="009B69A2" w:rsidRDefault="009B69A2" w:rsidP="009B69A2">
      <w:pPr>
        <w:rPr>
          <w:sz w:val="24"/>
          <w:szCs w:val="24"/>
        </w:rPr>
      </w:pPr>
      <w:r w:rsidRPr="009B69A2">
        <w:rPr>
          <w:b/>
          <w:bCs/>
          <w:sz w:val="24"/>
          <w:szCs w:val="24"/>
        </w:rPr>
        <w:t>Exploring</w:t>
      </w:r>
      <w:r w:rsidRPr="009B69A2">
        <w:rPr>
          <w:sz w:val="24"/>
          <w:szCs w:val="24"/>
        </w:rPr>
        <w:t xml:space="preserve"> – Users can freely navigate through modules and case studies, promoting autonomous learning and discovery (Carroll, 1991).</w:t>
      </w:r>
    </w:p>
    <w:p w14:paraId="100B0AD4" w14:textId="0C26A60A" w:rsidR="00190EDE" w:rsidRDefault="00190EDE" w:rsidP="00190EDE">
      <w:pPr>
        <w:pStyle w:val="Quote"/>
        <w:rPr>
          <w:b/>
          <w:bCs/>
          <w:sz w:val="26"/>
          <w:szCs w:val="26"/>
        </w:rPr>
      </w:pPr>
      <w:r w:rsidRPr="00190EDE">
        <w:rPr>
          <w:b/>
          <w:bCs/>
          <w:sz w:val="26"/>
          <w:szCs w:val="26"/>
        </w:rPr>
        <w:t>Social Interaction</w:t>
      </w:r>
    </w:p>
    <w:p w14:paraId="3FD7AAB9" w14:textId="68DDD2CF" w:rsidR="009B69A2" w:rsidRPr="009B69A2" w:rsidRDefault="009B69A2" w:rsidP="009B69A2">
      <w:pPr>
        <w:rPr>
          <w:b/>
          <w:bCs/>
          <w:sz w:val="24"/>
          <w:szCs w:val="24"/>
        </w:rPr>
      </w:pPr>
      <w:r w:rsidRPr="009B69A2">
        <w:rPr>
          <w:b/>
          <w:bCs/>
          <w:sz w:val="24"/>
          <w:szCs w:val="24"/>
        </w:rPr>
        <w:t>The platform will:</w:t>
      </w:r>
    </w:p>
    <w:p w14:paraId="2FA7E5AF" w14:textId="42343B90" w:rsidR="009B69A2" w:rsidRPr="009B69A2" w:rsidRDefault="009B69A2" w:rsidP="009B69A2">
      <w:pPr>
        <w:rPr>
          <w:sz w:val="24"/>
          <w:szCs w:val="24"/>
        </w:rPr>
      </w:pPr>
      <w:r w:rsidRPr="009B69A2">
        <w:rPr>
          <w:sz w:val="24"/>
          <w:szCs w:val="24"/>
        </w:rPr>
        <w:t>Include discussion boards for peer Q&amp;A and topic debates, supporting meaningful collaboration and peer engagement (Park et al., 2022).</w:t>
      </w:r>
    </w:p>
    <w:p w14:paraId="7EA2AC93" w14:textId="31C5C754" w:rsidR="009B69A2" w:rsidRPr="009B69A2" w:rsidRDefault="009B69A2" w:rsidP="009B69A2">
      <w:pPr>
        <w:rPr>
          <w:sz w:val="24"/>
          <w:szCs w:val="24"/>
        </w:rPr>
      </w:pPr>
      <w:r w:rsidRPr="009B69A2">
        <w:rPr>
          <w:sz w:val="24"/>
          <w:szCs w:val="24"/>
        </w:rPr>
        <w:t>Allow group project creation where users can form BA teams, enhancing team-based learning.</w:t>
      </w:r>
    </w:p>
    <w:p w14:paraId="41BC8228" w14:textId="559F3845" w:rsidR="00190EDE" w:rsidRPr="009B69A2" w:rsidRDefault="009B69A2" w:rsidP="009B69A2">
      <w:pPr>
        <w:rPr>
          <w:sz w:val="24"/>
          <w:szCs w:val="24"/>
        </w:rPr>
      </w:pPr>
      <w:r w:rsidRPr="009B69A2">
        <w:rPr>
          <w:sz w:val="24"/>
          <w:szCs w:val="24"/>
        </w:rPr>
        <w:t>Enable peer endorsements or “likes” on contributions to foster motivation and recognition through social reinforcement.</w:t>
      </w:r>
    </w:p>
    <w:p w14:paraId="05E56255" w14:textId="249CDFF3" w:rsidR="00190EDE" w:rsidRDefault="00190EDE" w:rsidP="00190EDE">
      <w:pPr>
        <w:pStyle w:val="Quote"/>
        <w:rPr>
          <w:b/>
          <w:bCs/>
          <w:sz w:val="26"/>
          <w:szCs w:val="26"/>
        </w:rPr>
      </w:pPr>
      <w:r w:rsidRPr="00190EDE">
        <w:rPr>
          <w:b/>
          <w:bCs/>
          <w:sz w:val="26"/>
          <w:szCs w:val="26"/>
        </w:rPr>
        <w:t>Emotional Interaction</w:t>
      </w:r>
    </w:p>
    <w:p w14:paraId="1ECCE0AF" w14:textId="435988F4" w:rsidR="009B69A2" w:rsidRPr="009E6B1A" w:rsidRDefault="009B69A2" w:rsidP="009B69A2">
      <w:pPr>
        <w:rPr>
          <w:b/>
          <w:bCs/>
          <w:sz w:val="24"/>
          <w:szCs w:val="24"/>
        </w:rPr>
      </w:pPr>
      <w:r w:rsidRPr="009E6B1A">
        <w:rPr>
          <w:b/>
          <w:bCs/>
          <w:sz w:val="24"/>
          <w:szCs w:val="24"/>
        </w:rPr>
        <w:t>The design promotes positive emotional interaction</w:t>
      </w:r>
      <w:r w:rsidR="001649B1" w:rsidRPr="009E6B1A">
        <w:rPr>
          <w:b/>
          <w:bCs/>
          <w:sz w:val="24"/>
          <w:szCs w:val="24"/>
        </w:rPr>
        <w:t xml:space="preserve"> (Santos dos Santos et al., 2022)</w:t>
      </w:r>
      <w:r w:rsidRPr="009E6B1A">
        <w:rPr>
          <w:b/>
          <w:bCs/>
          <w:sz w:val="24"/>
          <w:szCs w:val="24"/>
        </w:rPr>
        <w:t xml:space="preserve"> by:</w:t>
      </w:r>
    </w:p>
    <w:p w14:paraId="52D89826" w14:textId="4E522474" w:rsidR="009B69A2" w:rsidRPr="009E6B1A" w:rsidRDefault="009B69A2" w:rsidP="009E6B1A">
      <w:pPr>
        <w:pStyle w:val="ListParagraph"/>
        <w:numPr>
          <w:ilvl w:val="0"/>
          <w:numId w:val="2"/>
        </w:numPr>
        <w:rPr>
          <w:sz w:val="24"/>
          <w:szCs w:val="24"/>
        </w:rPr>
      </w:pPr>
      <w:r w:rsidRPr="009E6B1A">
        <w:rPr>
          <w:sz w:val="24"/>
          <w:szCs w:val="24"/>
        </w:rPr>
        <w:t>Using friendly language in system messages and feedback</w:t>
      </w:r>
      <w:r w:rsidR="001649B1" w:rsidRPr="009E6B1A">
        <w:rPr>
          <w:sz w:val="24"/>
          <w:szCs w:val="24"/>
        </w:rPr>
        <w:t>.</w:t>
      </w:r>
    </w:p>
    <w:p w14:paraId="0E161F41" w14:textId="56690B05" w:rsidR="009B69A2" w:rsidRPr="009E6B1A" w:rsidRDefault="009B69A2" w:rsidP="009E6B1A">
      <w:pPr>
        <w:pStyle w:val="ListParagraph"/>
        <w:numPr>
          <w:ilvl w:val="0"/>
          <w:numId w:val="2"/>
        </w:numPr>
        <w:rPr>
          <w:sz w:val="24"/>
          <w:szCs w:val="24"/>
        </w:rPr>
      </w:pPr>
      <w:r w:rsidRPr="009E6B1A">
        <w:rPr>
          <w:sz w:val="24"/>
          <w:szCs w:val="24"/>
        </w:rPr>
        <w:t>Including encouraging messages after completing tasks, which reinforces user confidence.</w:t>
      </w:r>
    </w:p>
    <w:p w14:paraId="31482A45" w14:textId="2C63F6B9" w:rsidR="00190EDE" w:rsidRPr="009E6B1A" w:rsidRDefault="009B69A2" w:rsidP="009E6B1A">
      <w:pPr>
        <w:pStyle w:val="ListParagraph"/>
        <w:numPr>
          <w:ilvl w:val="0"/>
          <w:numId w:val="2"/>
        </w:numPr>
        <w:rPr>
          <w:sz w:val="24"/>
          <w:szCs w:val="24"/>
        </w:rPr>
      </w:pPr>
      <w:r w:rsidRPr="009E6B1A">
        <w:rPr>
          <w:sz w:val="24"/>
          <w:szCs w:val="24"/>
        </w:rPr>
        <w:t>Displaying motivational quotes related to business and technology to keep users inspired and emotionally connected.</w:t>
      </w:r>
    </w:p>
    <w:p w14:paraId="31924986" w14:textId="44734E00" w:rsidR="00190EDE" w:rsidRDefault="0018760A" w:rsidP="0018760A">
      <w:pPr>
        <w:pStyle w:val="Quote"/>
        <w:rPr>
          <w:b/>
          <w:bCs/>
          <w:sz w:val="26"/>
          <w:szCs w:val="26"/>
        </w:rPr>
      </w:pPr>
      <w:r w:rsidRPr="0018760A">
        <w:rPr>
          <w:b/>
          <w:bCs/>
          <w:sz w:val="26"/>
          <w:szCs w:val="26"/>
        </w:rPr>
        <w:t>Web Content Accessibility Guideline</w:t>
      </w:r>
    </w:p>
    <w:p w14:paraId="4B8E4C21" w14:textId="4F84B281" w:rsidR="00D96422" w:rsidRPr="00D96422" w:rsidRDefault="00D96422" w:rsidP="00D96422">
      <w:pPr>
        <w:rPr>
          <w:b/>
          <w:bCs/>
          <w:sz w:val="24"/>
          <w:szCs w:val="24"/>
        </w:rPr>
      </w:pPr>
      <w:r w:rsidRPr="00D96422">
        <w:rPr>
          <w:b/>
          <w:bCs/>
          <w:sz w:val="24"/>
          <w:szCs w:val="24"/>
        </w:rPr>
        <w:t>Accessibility will be ensured by:</w:t>
      </w:r>
    </w:p>
    <w:p w14:paraId="2B6CACBD" w14:textId="7345957C" w:rsidR="00D96422" w:rsidRPr="00D96422" w:rsidRDefault="00D96422" w:rsidP="00D96422">
      <w:pPr>
        <w:rPr>
          <w:sz w:val="24"/>
          <w:szCs w:val="24"/>
        </w:rPr>
      </w:pPr>
      <w:r w:rsidRPr="00D96422">
        <w:rPr>
          <w:sz w:val="24"/>
          <w:szCs w:val="24"/>
        </w:rPr>
        <w:t>High contrast color themes and font resize options to assist users with visual impairments (W3C, 2024).</w:t>
      </w:r>
    </w:p>
    <w:p w14:paraId="3A8AA397" w14:textId="04B47966" w:rsidR="00D96422" w:rsidRPr="00D96422" w:rsidRDefault="00D96422" w:rsidP="00D96422">
      <w:pPr>
        <w:rPr>
          <w:sz w:val="24"/>
          <w:szCs w:val="24"/>
        </w:rPr>
      </w:pPr>
      <w:r w:rsidRPr="00D96422">
        <w:rPr>
          <w:sz w:val="24"/>
          <w:szCs w:val="24"/>
        </w:rPr>
        <w:t>Descriptive alt-text for images and icons, ensuring content is understandable by screen readers.</w:t>
      </w:r>
    </w:p>
    <w:p w14:paraId="27F9321E" w14:textId="29FC447B" w:rsidR="00D96422" w:rsidRPr="00D96422" w:rsidRDefault="00D96422" w:rsidP="00D96422">
      <w:pPr>
        <w:rPr>
          <w:sz w:val="24"/>
          <w:szCs w:val="24"/>
        </w:rPr>
      </w:pPr>
      <w:r w:rsidRPr="00D96422">
        <w:rPr>
          <w:sz w:val="24"/>
          <w:szCs w:val="24"/>
        </w:rPr>
        <w:t>Keyboard navigability for users with motor impairments, aligning with the latest accessibility standards.</w:t>
      </w:r>
    </w:p>
    <w:p w14:paraId="16842B6C" w14:textId="1E047D58" w:rsidR="00D96422" w:rsidRPr="00D96422" w:rsidRDefault="00D96422" w:rsidP="00D96422">
      <w:pPr>
        <w:rPr>
          <w:sz w:val="24"/>
          <w:szCs w:val="24"/>
        </w:rPr>
      </w:pPr>
      <w:r w:rsidRPr="00D96422">
        <w:rPr>
          <w:sz w:val="24"/>
          <w:szCs w:val="24"/>
        </w:rPr>
        <w:t>Screen reader compatibility for visually impaired users to navigate the interface independently (W3C, 2024).</w:t>
      </w:r>
    </w:p>
    <w:p w14:paraId="0A50DBC2" w14:textId="3F5D6B44" w:rsidR="00DF535C" w:rsidRDefault="00DF535C" w:rsidP="00DF535C">
      <w:pPr>
        <w:pStyle w:val="IntenseQuote"/>
      </w:pPr>
      <w:r>
        <w:t xml:space="preserve">Reference List </w:t>
      </w:r>
    </w:p>
    <w:p w14:paraId="0B1EC6D7" w14:textId="6A5D4A1D" w:rsidR="00DF535C" w:rsidRPr="00DF535C" w:rsidRDefault="00DF535C" w:rsidP="00DF535C">
      <w:pPr>
        <w:spacing w:beforeAutospacing="1" w:after="100" w:afterAutospacing="1" w:line="240" w:lineRule="auto"/>
        <w:rPr>
          <w:rFonts w:ascii="Times New Roman" w:hAnsi="Times New Roman" w:cs="Times New Roman"/>
          <w:sz w:val="24"/>
          <w:szCs w:val="24"/>
        </w:rPr>
      </w:pPr>
      <w:r w:rsidRPr="00DF535C">
        <w:rPr>
          <w:rFonts w:ascii="Times New Roman" w:hAnsi="Times New Roman" w:cs="Times New Roman"/>
          <w:sz w:val="24"/>
          <w:szCs w:val="24"/>
        </w:rPr>
        <w:t xml:space="preserve">Casey, M., 2023. </w:t>
      </w:r>
      <w:r w:rsidRPr="00DF535C">
        <w:rPr>
          <w:rStyle w:val="Emphasis"/>
          <w:rFonts w:ascii="Times New Roman" w:hAnsi="Times New Roman" w:cs="Times New Roman"/>
          <w:sz w:val="24"/>
          <w:szCs w:val="24"/>
        </w:rPr>
        <w:t>The Content Strategy Toolkit: Methods, Guidelines, and Templates for Getting Content Right</w:t>
      </w:r>
      <w:r w:rsidRPr="00DF535C">
        <w:rPr>
          <w:rFonts w:ascii="Times New Roman" w:hAnsi="Times New Roman" w:cs="Times New Roman"/>
          <w:sz w:val="24"/>
          <w:szCs w:val="24"/>
        </w:rPr>
        <w:t xml:space="preserve">. [online] Google Books. Available at: </w:t>
      </w:r>
      <w:hyperlink r:id="rId5" w:tgtFrame="_new" w:history="1">
        <w:r w:rsidRPr="00DF535C">
          <w:rPr>
            <w:rStyle w:val="Hyperlink"/>
            <w:rFonts w:ascii="Times New Roman" w:hAnsi="Times New Roman" w:cs="Times New Roman"/>
            <w:sz w:val="24"/>
            <w:szCs w:val="24"/>
          </w:rPr>
          <w:t>https://books.google.com</w:t>
        </w:r>
      </w:hyperlink>
      <w:r w:rsidRPr="00DF535C">
        <w:rPr>
          <w:rFonts w:ascii="Times New Roman" w:hAnsi="Times New Roman" w:cs="Times New Roman"/>
          <w:sz w:val="24"/>
          <w:szCs w:val="24"/>
        </w:rPr>
        <w:t xml:space="preserve"> [Accessed 15 Apr. 2025]. </w:t>
      </w:r>
    </w:p>
    <w:p w14:paraId="17F13858" w14:textId="0772AEB7" w:rsidR="00DF535C" w:rsidRDefault="00DF535C" w:rsidP="00DF535C">
      <w:pPr>
        <w:spacing w:beforeAutospacing="1" w:after="100" w:afterAutospacing="1" w:line="240" w:lineRule="auto"/>
        <w:rPr>
          <w:rFonts w:ascii="Times New Roman" w:hAnsi="Times New Roman" w:cs="Times New Roman"/>
          <w:sz w:val="24"/>
          <w:szCs w:val="24"/>
        </w:rPr>
      </w:pPr>
      <w:r w:rsidRPr="00DF535C">
        <w:rPr>
          <w:rFonts w:ascii="Times New Roman" w:hAnsi="Times New Roman" w:cs="Times New Roman"/>
          <w:sz w:val="24"/>
          <w:szCs w:val="24"/>
        </w:rPr>
        <w:t xml:space="preserve">Howell, S., Beach, T. and Rezgui, Y., 2021. Robust requirements gathering for ontologies in smart water systems. </w:t>
      </w:r>
      <w:r w:rsidRPr="00DF535C">
        <w:rPr>
          <w:rStyle w:val="Emphasis"/>
          <w:rFonts w:ascii="Times New Roman" w:hAnsi="Times New Roman" w:cs="Times New Roman"/>
          <w:sz w:val="24"/>
          <w:szCs w:val="24"/>
        </w:rPr>
        <w:t>Requirements Engineering</w:t>
      </w:r>
      <w:r w:rsidRPr="00DF535C">
        <w:rPr>
          <w:rFonts w:ascii="Times New Roman" w:hAnsi="Times New Roman" w:cs="Times New Roman"/>
          <w:sz w:val="24"/>
          <w:szCs w:val="24"/>
        </w:rPr>
        <w:t xml:space="preserve">, [online] Springer. Available at: </w:t>
      </w:r>
      <w:hyperlink r:id="rId6" w:tgtFrame="_new" w:history="1">
        <w:r w:rsidRPr="00DF535C">
          <w:rPr>
            <w:rStyle w:val="Hyperlink"/>
            <w:rFonts w:ascii="Times New Roman" w:hAnsi="Times New Roman" w:cs="Times New Roman"/>
            <w:sz w:val="24"/>
            <w:szCs w:val="24"/>
          </w:rPr>
          <w:t>https://link.springer.com/article/10.1007/s00766-021-00363-y</w:t>
        </w:r>
      </w:hyperlink>
      <w:r w:rsidRPr="00DF535C">
        <w:rPr>
          <w:rFonts w:ascii="Times New Roman" w:hAnsi="Times New Roman" w:cs="Times New Roman"/>
          <w:sz w:val="24"/>
          <w:szCs w:val="24"/>
        </w:rPr>
        <w:t xml:space="preserve"> [Accessed 15 Apr. 2025]. </w:t>
      </w:r>
    </w:p>
    <w:p w14:paraId="55A560E5" w14:textId="0ABFE2BF" w:rsidR="00DF535C" w:rsidRDefault="00DF535C" w:rsidP="00DF535C">
      <w:pPr>
        <w:spacing w:beforeAutospacing="1" w:after="100" w:afterAutospacing="1" w:line="240" w:lineRule="auto"/>
        <w:rPr>
          <w:rFonts w:ascii="Times New Roman" w:eastAsia="Times New Roman" w:hAnsi="Times New Roman" w:cs="Times New Roman"/>
          <w:sz w:val="24"/>
          <w:szCs w:val="24"/>
          <w:lang w:eastAsia="en-ZA"/>
        </w:rPr>
      </w:pPr>
      <w:r w:rsidRPr="00DF535C">
        <w:rPr>
          <w:rFonts w:ascii="Times New Roman" w:eastAsia="Times New Roman" w:hAnsi="Times New Roman" w:cs="Times New Roman"/>
          <w:sz w:val="24"/>
          <w:szCs w:val="24"/>
          <w:lang w:eastAsia="en-ZA"/>
        </w:rPr>
        <w:t xml:space="preserve">Milani, F., 2019. </w:t>
      </w:r>
      <w:r w:rsidRPr="00DF535C">
        <w:rPr>
          <w:rFonts w:ascii="Times New Roman" w:eastAsia="Times New Roman" w:hAnsi="Times New Roman" w:cs="Times New Roman"/>
          <w:i/>
          <w:iCs/>
          <w:sz w:val="24"/>
          <w:szCs w:val="24"/>
          <w:lang w:eastAsia="en-ZA"/>
        </w:rPr>
        <w:t>Digital Business Analysis</w:t>
      </w:r>
      <w:r w:rsidRPr="00DF535C">
        <w:rPr>
          <w:rFonts w:ascii="Times New Roman" w:eastAsia="Times New Roman" w:hAnsi="Times New Roman" w:cs="Times New Roman"/>
          <w:sz w:val="24"/>
          <w:szCs w:val="24"/>
          <w:lang w:eastAsia="en-ZA"/>
        </w:rPr>
        <w:t xml:space="preserve">. [online] Springer. Available at: </w:t>
      </w:r>
      <w:hyperlink r:id="rId7" w:tgtFrame="_new" w:history="1">
        <w:r w:rsidRPr="00DF535C">
          <w:rPr>
            <w:rFonts w:ascii="Times New Roman" w:eastAsia="Times New Roman" w:hAnsi="Times New Roman" w:cs="Times New Roman"/>
            <w:color w:val="0000FF"/>
            <w:sz w:val="24"/>
            <w:szCs w:val="24"/>
            <w:u w:val="single"/>
            <w:lang w:eastAsia="en-ZA"/>
          </w:rPr>
          <w:t>https://link.springer.com/book/10.1007/978-3-030-05129-7</w:t>
        </w:r>
      </w:hyperlink>
      <w:r w:rsidRPr="00DF535C">
        <w:rPr>
          <w:rFonts w:ascii="Times New Roman" w:eastAsia="Times New Roman" w:hAnsi="Times New Roman" w:cs="Times New Roman"/>
          <w:sz w:val="24"/>
          <w:szCs w:val="24"/>
          <w:lang w:eastAsia="en-ZA"/>
        </w:rPr>
        <w:t xml:space="preserve"> [Accessed 15 Apr. 2025].</w:t>
      </w:r>
      <w:r>
        <w:rPr>
          <w:rFonts w:ascii="Times New Roman" w:eastAsia="Times New Roman" w:hAnsi="Times New Roman" w:cs="Times New Roman"/>
          <w:sz w:val="24"/>
          <w:szCs w:val="24"/>
          <w:lang w:eastAsia="en-ZA"/>
        </w:rPr>
        <w:t xml:space="preserve"> </w:t>
      </w:r>
    </w:p>
    <w:p w14:paraId="7E6A5CE6" w14:textId="6DED1DC9" w:rsidR="00DF535C" w:rsidRDefault="00B34230" w:rsidP="00DF535C">
      <w:pPr>
        <w:spacing w:beforeAutospacing="1" w:after="100" w:afterAutospacing="1" w:line="240" w:lineRule="auto"/>
        <w:rPr>
          <w:rFonts w:ascii="Times New Roman" w:eastAsia="Times New Roman" w:hAnsi="Times New Roman" w:cs="Times New Roman"/>
          <w:sz w:val="24"/>
          <w:szCs w:val="24"/>
          <w:lang w:eastAsia="en-ZA"/>
        </w:rPr>
      </w:pPr>
      <w:r w:rsidRPr="00B34230">
        <w:rPr>
          <w:rFonts w:ascii="Times New Roman" w:eastAsia="Times New Roman" w:hAnsi="Times New Roman" w:cs="Times New Roman"/>
          <w:sz w:val="24"/>
          <w:szCs w:val="24"/>
          <w:lang w:eastAsia="en-ZA"/>
        </w:rPr>
        <w:t xml:space="preserve">Preece, J., Rogers, Y. and Sharp, H., 2015. Interaction Design: Beyond Human-Computer Interaction. 4th ed. [online] Wiley. Available at: </w:t>
      </w:r>
      <w:hyperlink r:id="rId8" w:history="1">
        <w:r w:rsidRPr="00B13FB5">
          <w:rPr>
            <w:rStyle w:val="Hyperlink"/>
            <w:rFonts w:ascii="Times New Roman" w:eastAsia="Times New Roman" w:hAnsi="Times New Roman" w:cs="Times New Roman"/>
            <w:sz w:val="24"/>
            <w:szCs w:val="24"/>
            <w:lang w:eastAsia="en-ZA"/>
          </w:rPr>
          <w:t>https://www.wiley.com/en-us/Interaction+Design%3A+Beyond+Human+Computer+Interaction%2C+4th+Edition-p-9781119020752</w:t>
        </w:r>
      </w:hyperlink>
      <w:r>
        <w:rPr>
          <w:rFonts w:ascii="Times New Roman" w:eastAsia="Times New Roman" w:hAnsi="Times New Roman" w:cs="Times New Roman"/>
          <w:sz w:val="24"/>
          <w:szCs w:val="24"/>
          <w:lang w:eastAsia="en-ZA"/>
        </w:rPr>
        <w:t xml:space="preserve"> </w:t>
      </w:r>
      <w:r w:rsidRPr="00B34230">
        <w:rPr>
          <w:rFonts w:ascii="Times New Roman" w:eastAsia="Times New Roman" w:hAnsi="Times New Roman" w:cs="Times New Roman"/>
          <w:sz w:val="24"/>
          <w:szCs w:val="24"/>
          <w:lang w:eastAsia="en-ZA"/>
        </w:rPr>
        <w:t>[Accessed 15 Apr. 2025].</w:t>
      </w:r>
      <w:r>
        <w:rPr>
          <w:rFonts w:ascii="Times New Roman" w:eastAsia="Times New Roman" w:hAnsi="Times New Roman" w:cs="Times New Roman"/>
          <w:sz w:val="24"/>
          <w:szCs w:val="24"/>
          <w:lang w:eastAsia="en-ZA"/>
        </w:rPr>
        <w:t xml:space="preserve"> </w:t>
      </w:r>
    </w:p>
    <w:p w14:paraId="17C472AD" w14:textId="63B9058E" w:rsidR="00D96422" w:rsidRPr="00D96422" w:rsidRDefault="00D96422" w:rsidP="00D96422">
      <w:pPr>
        <w:spacing w:beforeAutospacing="1" w:after="100" w:afterAutospacing="1" w:line="240" w:lineRule="auto"/>
        <w:rPr>
          <w:rFonts w:ascii="Times New Roman" w:eastAsia="Times New Roman" w:hAnsi="Times New Roman" w:cs="Times New Roman"/>
          <w:sz w:val="24"/>
          <w:szCs w:val="24"/>
          <w:lang w:eastAsia="en-ZA"/>
        </w:rPr>
      </w:pPr>
      <w:r w:rsidRPr="00D96422">
        <w:rPr>
          <w:rFonts w:ascii="Times New Roman" w:eastAsia="Times New Roman" w:hAnsi="Times New Roman" w:cs="Times New Roman"/>
          <w:sz w:val="24"/>
          <w:szCs w:val="24"/>
          <w:lang w:eastAsia="en-ZA"/>
        </w:rPr>
        <w:t>Park, J.S. et al. (2022). Social simulacra: Creating populated prototypes for social computing systems. Proceedings of the 35th Annual ACM Symposium.</w:t>
      </w:r>
    </w:p>
    <w:p w14:paraId="7400E9E9" w14:textId="44A508CE" w:rsidR="00D96422" w:rsidRPr="00D96422" w:rsidRDefault="00D96422" w:rsidP="00D96422">
      <w:pPr>
        <w:spacing w:beforeAutospacing="1" w:after="100" w:afterAutospacing="1" w:line="240" w:lineRule="auto"/>
        <w:rPr>
          <w:rFonts w:ascii="Times New Roman" w:eastAsia="Times New Roman" w:hAnsi="Times New Roman" w:cs="Times New Roman"/>
          <w:sz w:val="24"/>
          <w:szCs w:val="24"/>
          <w:lang w:eastAsia="en-ZA"/>
        </w:rPr>
      </w:pPr>
      <w:r w:rsidRPr="00D96422">
        <w:rPr>
          <w:rFonts w:ascii="Times New Roman" w:eastAsia="Times New Roman" w:hAnsi="Times New Roman" w:cs="Times New Roman"/>
          <w:sz w:val="24"/>
          <w:szCs w:val="24"/>
          <w:lang w:eastAsia="en-ZA"/>
        </w:rPr>
        <w:t>Preece, J. (20</w:t>
      </w:r>
      <w:r w:rsidR="001649B1">
        <w:rPr>
          <w:rFonts w:ascii="Times New Roman" w:eastAsia="Times New Roman" w:hAnsi="Times New Roman" w:cs="Times New Roman"/>
          <w:sz w:val="24"/>
          <w:szCs w:val="24"/>
          <w:lang w:eastAsia="en-ZA"/>
        </w:rPr>
        <w:t>2</w:t>
      </w:r>
      <w:r w:rsidRPr="00D96422">
        <w:rPr>
          <w:rFonts w:ascii="Times New Roman" w:eastAsia="Times New Roman" w:hAnsi="Times New Roman" w:cs="Times New Roman"/>
          <w:sz w:val="24"/>
          <w:szCs w:val="24"/>
          <w:lang w:eastAsia="en-ZA"/>
        </w:rPr>
        <w:t>0). Online Communities: Designing Usability, Supporting Sociability. Chichester: Wiley.</w:t>
      </w:r>
    </w:p>
    <w:p w14:paraId="3129DCDA" w14:textId="7A85CEEE" w:rsidR="00D96422" w:rsidRPr="00D96422" w:rsidRDefault="00D96422" w:rsidP="00D96422">
      <w:pPr>
        <w:spacing w:beforeAutospacing="1" w:after="100" w:afterAutospacing="1" w:line="240" w:lineRule="auto"/>
        <w:rPr>
          <w:rFonts w:ascii="Times New Roman" w:eastAsia="Times New Roman" w:hAnsi="Times New Roman" w:cs="Times New Roman"/>
          <w:sz w:val="24"/>
          <w:szCs w:val="24"/>
          <w:lang w:eastAsia="en-ZA"/>
        </w:rPr>
      </w:pPr>
      <w:proofErr w:type="gramStart"/>
      <w:r w:rsidRPr="00D96422">
        <w:rPr>
          <w:rFonts w:ascii="Times New Roman" w:eastAsia="Times New Roman" w:hAnsi="Times New Roman" w:cs="Times New Roman"/>
          <w:sz w:val="24"/>
          <w:szCs w:val="24"/>
          <w:lang w:eastAsia="en-ZA"/>
        </w:rPr>
        <w:t>Santos</w:t>
      </w:r>
      <w:proofErr w:type="gramEnd"/>
      <w:r w:rsidRPr="00D96422">
        <w:rPr>
          <w:rFonts w:ascii="Times New Roman" w:eastAsia="Times New Roman" w:hAnsi="Times New Roman" w:cs="Times New Roman"/>
          <w:sz w:val="24"/>
          <w:szCs w:val="24"/>
          <w:lang w:eastAsia="en-ZA"/>
        </w:rPr>
        <w:t xml:space="preserve"> dos Santos, S. et al. (2022). Emoframe: Prototype of a framework to assess users' emotional responses. Human-Computer Interaction, Springer.</w:t>
      </w:r>
    </w:p>
    <w:p w14:paraId="3C9CA53A" w14:textId="29618D59" w:rsidR="00D96422" w:rsidRPr="00DF535C" w:rsidRDefault="00D96422" w:rsidP="00D96422">
      <w:pPr>
        <w:spacing w:beforeAutospacing="1" w:after="100" w:afterAutospacing="1" w:line="240" w:lineRule="auto"/>
        <w:rPr>
          <w:rFonts w:ascii="Times New Roman" w:eastAsia="Times New Roman" w:hAnsi="Times New Roman" w:cs="Times New Roman"/>
          <w:sz w:val="24"/>
          <w:szCs w:val="24"/>
          <w:lang w:eastAsia="en-ZA"/>
        </w:rPr>
      </w:pPr>
      <w:r w:rsidRPr="00D96422">
        <w:rPr>
          <w:rFonts w:ascii="Times New Roman" w:eastAsia="Times New Roman" w:hAnsi="Times New Roman" w:cs="Times New Roman"/>
          <w:sz w:val="24"/>
          <w:szCs w:val="24"/>
          <w:lang w:eastAsia="en-ZA"/>
        </w:rPr>
        <w:t xml:space="preserve">W3C (2024). Web Content Accessibility Guidelines (WCAG) 2.1. </w:t>
      </w:r>
      <w:hyperlink r:id="rId9" w:history="1">
        <w:r w:rsidRPr="00B13FB5">
          <w:rPr>
            <w:rStyle w:val="Hyperlink"/>
            <w:rFonts w:ascii="Times New Roman" w:eastAsia="Times New Roman" w:hAnsi="Times New Roman" w:cs="Times New Roman"/>
            <w:sz w:val="24"/>
            <w:szCs w:val="24"/>
            <w:lang w:eastAsia="en-ZA"/>
          </w:rPr>
          <w:t>https://www.w3.org/TR/WCAG21/</w:t>
        </w:r>
      </w:hyperlink>
      <w:r>
        <w:rPr>
          <w:rFonts w:ascii="Times New Roman" w:eastAsia="Times New Roman" w:hAnsi="Times New Roman" w:cs="Times New Roman"/>
          <w:sz w:val="24"/>
          <w:szCs w:val="24"/>
          <w:lang w:eastAsia="en-ZA"/>
        </w:rPr>
        <w:t xml:space="preserve"> </w:t>
      </w:r>
    </w:p>
    <w:p w14:paraId="5AE3FC0A" w14:textId="77777777" w:rsidR="00DF535C" w:rsidRPr="00DF535C" w:rsidRDefault="00DF535C" w:rsidP="00DF535C">
      <w:pPr>
        <w:rPr>
          <w:sz w:val="24"/>
          <w:szCs w:val="24"/>
        </w:rPr>
      </w:pPr>
    </w:p>
    <w:sectPr w:rsidR="00DF535C" w:rsidRPr="00DF5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B5C3F"/>
    <w:multiLevelType w:val="hybridMultilevel"/>
    <w:tmpl w:val="49966F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6353E71"/>
    <w:multiLevelType w:val="hybridMultilevel"/>
    <w:tmpl w:val="75B055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1E4773C"/>
    <w:multiLevelType w:val="hybridMultilevel"/>
    <w:tmpl w:val="FF341F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38"/>
    <w:rsid w:val="00023936"/>
    <w:rsid w:val="000F7867"/>
    <w:rsid w:val="001649B1"/>
    <w:rsid w:val="0018760A"/>
    <w:rsid w:val="00190EDE"/>
    <w:rsid w:val="002476E2"/>
    <w:rsid w:val="004E41DC"/>
    <w:rsid w:val="006A0AFC"/>
    <w:rsid w:val="007F7EC4"/>
    <w:rsid w:val="008B3438"/>
    <w:rsid w:val="0094599B"/>
    <w:rsid w:val="009B69A2"/>
    <w:rsid w:val="009E6B1A"/>
    <w:rsid w:val="00A34CAB"/>
    <w:rsid w:val="00AE60E5"/>
    <w:rsid w:val="00B04DF0"/>
    <w:rsid w:val="00B34230"/>
    <w:rsid w:val="00C54A21"/>
    <w:rsid w:val="00D96422"/>
    <w:rsid w:val="00DF535C"/>
    <w:rsid w:val="00E03528"/>
    <w:rsid w:val="00F33E17"/>
    <w:rsid w:val="00F853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A565"/>
  <w15:chartTrackingRefBased/>
  <w15:docId w15:val="{10F4CFDB-91B9-477D-B42F-E5FD52C37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8B343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B3438"/>
    <w:rPr>
      <w:i/>
      <w:iCs/>
      <w:color w:val="404040" w:themeColor="text1" w:themeTint="BF"/>
    </w:rPr>
  </w:style>
  <w:style w:type="paragraph" w:styleId="IntenseQuote">
    <w:name w:val="Intense Quote"/>
    <w:basedOn w:val="Normal"/>
    <w:next w:val="Normal"/>
    <w:link w:val="IntenseQuoteChar"/>
    <w:uiPriority w:val="30"/>
    <w:qFormat/>
    <w:rsid w:val="00DF535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F535C"/>
    <w:rPr>
      <w:i/>
      <w:iCs/>
      <w:color w:val="4472C4" w:themeColor="accent1"/>
    </w:rPr>
  </w:style>
  <w:style w:type="character" w:styleId="Emphasis">
    <w:name w:val="Emphasis"/>
    <w:basedOn w:val="DefaultParagraphFont"/>
    <w:uiPriority w:val="20"/>
    <w:qFormat/>
    <w:rsid w:val="00DF535C"/>
    <w:rPr>
      <w:i/>
      <w:iCs/>
    </w:rPr>
  </w:style>
  <w:style w:type="character" w:styleId="Hyperlink">
    <w:name w:val="Hyperlink"/>
    <w:basedOn w:val="DefaultParagraphFont"/>
    <w:uiPriority w:val="99"/>
    <w:unhideWhenUsed/>
    <w:rsid w:val="00DF535C"/>
    <w:rPr>
      <w:color w:val="0000FF"/>
      <w:u w:val="single"/>
    </w:rPr>
  </w:style>
  <w:style w:type="character" w:styleId="UnresolvedMention">
    <w:name w:val="Unresolved Mention"/>
    <w:basedOn w:val="DefaultParagraphFont"/>
    <w:uiPriority w:val="99"/>
    <w:semiHidden/>
    <w:unhideWhenUsed/>
    <w:rsid w:val="00B34230"/>
    <w:rPr>
      <w:color w:val="605E5C"/>
      <w:shd w:val="clear" w:color="auto" w:fill="E1DFDD"/>
    </w:rPr>
  </w:style>
  <w:style w:type="paragraph" w:styleId="ListParagraph">
    <w:name w:val="List Paragraph"/>
    <w:basedOn w:val="Normal"/>
    <w:uiPriority w:val="34"/>
    <w:qFormat/>
    <w:rsid w:val="009B69A2"/>
    <w:pPr>
      <w:ind w:left="720"/>
      <w:contextualSpacing/>
    </w:pPr>
  </w:style>
  <w:style w:type="paragraph" w:styleId="NormalWeb">
    <w:name w:val="Normal (Web)"/>
    <w:basedOn w:val="Normal"/>
    <w:uiPriority w:val="99"/>
    <w:semiHidden/>
    <w:unhideWhenUsed/>
    <w:rsid w:val="009E6B1A"/>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69824">
      <w:bodyDiv w:val="1"/>
      <w:marLeft w:val="0"/>
      <w:marRight w:val="0"/>
      <w:marTop w:val="0"/>
      <w:marBottom w:val="0"/>
      <w:divBdr>
        <w:top w:val="none" w:sz="0" w:space="0" w:color="auto"/>
        <w:left w:val="none" w:sz="0" w:space="0" w:color="auto"/>
        <w:bottom w:val="none" w:sz="0" w:space="0" w:color="auto"/>
        <w:right w:val="none" w:sz="0" w:space="0" w:color="auto"/>
      </w:divBdr>
    </w:div>
    <w:div w:id="303701196">
      <w:bodyDiv w:val="1"/>
      <w:marLeft w:val="0"/>
      <w:marRight w:val="0"/>
      <w:marTop w:val="0"/>
      <w:marBottom w:val="0"/>
      <w:divBdr>
        <w:top w:val="none" w:sz="0" w:space="0" w:color="auto"/>
        <w:left w:val="none" w:sz="0" w:space="0" w:color="auto"/>
        <w:bottom w:val="none" w:sz="0" w:space="0" w:color="auto"/>
        <w:right w:val="none" w:sz="0" w:space="0" w:color="auto"/>
      </w:divBdr>
      <w:divsChild>
        <w:div w:id="582297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843828">
      <w:bodyDiv w:val="1"/>
      <w:marLeft w:val="0"/>
      <w:marRight w:val="0"/>
      <w:marTop w:val="0"/>
      <w:marBottom w:val="0"/>
      <w:divBdr>
        <w:top w:val="none" w:sz="0" w:space="0" w:color="auto"/>
        <w:left w:val="none" w:sz="0" w:space="0" w:color="auto"/>
        <w:bottom w:val="none" w:sz="0" w:space="0" w:color="auto"/>
        <w:right w:val="none" w:sz="0" w:space="0" w:color="auto"/>
      </w:divBdr>
    </w:div>
    <w:div w:id="624655484">
      <w:bodyDiv w:val="1"/>
      <w:marLeft w:val="0"/>
      <w:marRight w:val="0"/>
      <w:marTop w:val="0"/>
      <w:marBottom w:val="0"/>
      <w:divBdr>
        <w:top w:val="none" w:sz="0" w:space="0" w:color="auto"/>
        <w:left w:val="none" w:sz="0" w:space="0" w:color="auto"/>
        <w:bottom w:val="none" w:sz="0" w:space="0" w:color="auto"/>
        <w:right w:val="none" w:sz="0" w:space="0" w:color="auto"/>
      </w:divBdr>
    </w:div>
    <w:div w:id="740368511">
      <w:bodyDiv w:val="1"/>
      <w:marLeft w:val="0"/>
      <w:marRight w:val="0"/>
      <w:marTop w:val="0"/>
      <w:marBottom w:val="0"/>
      <w:divBdr>
        <w:top w:val="none" w:sz="0" w:space="0" w:color="auto"/>
        <w:left w:val="none" w:sz="0" w:space="0" w:color="auto"/>
        <w:bottom w:val="none" w:sz="0" w:space="0" w:color="auto"/>
        <w:right w:val="none" w:sz="0" w:space="0" w:color="auto"/>
      </w:divBdr>
    </w:div>
    <w:div w:id="1198394791">
      <w:bodyDiv w:val="1"/>
      <w:marLeft w:val="0"/>
      <w:marRight w:val="0"/>
      <w:marTop w:val="0"/>
      <w:marBottom w:val="0"/>
      <w:divBdr>
        <w:top w:val="none" w:sz="0" w:space="0" w:color="auto"/>
        <w:left w:val="none" w:sz="0" w:space="0" w:color="auto"/>
        <w:bottom w:val="none" w:sz="0" w:space="0" w:color="auto"/>
        <w:right w:val="none" w:sz="0" w:space="0" w:color="auto"/>
      </w:divBdr>
    </w:div>
    <w:div w:id="1254360065">
      <w:bodyDiv w:val="1"/>
      <w:marLeft w:val="0"/>
      <w:marRight w:val="0"/>
      <w:marTop w:val="0"/>
      <w:marBottom w:val="0"/>
      <w:divBdr>
        <w:top w:val="none" w:sz="0" w:space="0" w:color="auto"/>
        <w:left w:val="none" w:sz="0" w:space="0" w:color="auto"/>
        <w:bottom w:val="none" w:sz="0" w:space="0" w:color="auto"/>
        <w:right w:val="none" w:sz="0" w:space="0" w:color="auto"/>
      </w:divBdr>
    </w:div>
    <w:div w:id="1463687886">
      <w:bodyDiv w:val="1"/>
      <w:marLeft w:val="0"/>
      <w:marRight w:val="0"/>
      <w:marTop w:val="0"/>
      <w:marBottom w:val="0"/>
      <w:divBdr>
        <w:top w:val="none" w:sz="0" w:space="0" w:color="auto"/>
        <w:left w:val="none" w:sz="0" w:space="0" w:color="auto"/>
        <w:bottom w:val="none" w:sz="0" w:space="0" w:color="auto"/>
        <w:right w:val="none" w:sz="0" w:space="0" w:color="auto"/>
      </w:divBdr>
    </w:div>
    <w:div w:id="1579905242">
      <w:bodyDiv w:val="1"/>
      <w:marLeft w:val="0"/>
      <w:marRight w:val="0"/>
      <w:marTop w:val="0"/>
      <w:marBottom w:val="0"/>
      <w:divBdr>
        <w:top w:val="none" w:sz="0" w:space="0" w:color="auto"/>
        <w:left w:val="none" w:sz="0" w:space="0" w:color="auto"/>
        <w:bottom w:val="none" w:sz="0" w:space="0" w:color="auto"/>
        <w:right w:val="none" w:sz="0" w:space="0" w:color="auto"/>
      </w:divBdr>
    </w:div>
    <w:div w:id="1686438388">
      <w:bodyDiv w:val="1"/>
      <w:marLeft w:val="0"/>
      <w:marRight w:val="0"/>
      <w:marTop w:val="0"/>
      <w:marBottom w:val="0"/>
      <w:divBdr>
        <w:top w:val="none" w:sz="0" w:space="0" w:color="auto"/>
        <w:left w:val="none" w:sz="0" w:space="0" w:color="auto"/>
        <w:bottom w:val="none" w:sz="0" w:space="0" w:color="auto"/>
        <w:right w:val="none" w:sz="0" w:space="0" w:color="auto"/>
      </w:divBdr>
    </w:div>
    <w:div w:id="1854764007">
      <w:bodyDiv w:val="1"/>
      <w:marLeft w:val="0"/>
      <w:marRight w:val="0"/>
      <w:marTop w:val="0"/>
      <w:marBottom w:val="0"/>
      <w:divBdr>
        <w:top w:val="none" w:sz="0" w:space="0" w:color="auto"/>
        <w:left w:val="none" w:sz="0" w:space="0" w:color="auto"/>
        <w:bottom w:val="none" w:sz="0" w:space="0" w:color="auto"/>
        <w:right w:val="none" w:sz="0" w:space="0" w:color="auto"/>
      </w:divBdr>
    </w:div>
    <w:div w:id="1885560071">
      <w:bodyDiv w:val="1"/>
      <w:marLeft w:val="0"/>
      <w:marRight w:val="0"/>
      <w:marTop w:val="0"/>
      <w:marBottom w:val="0"/>
      <w:divBdr>
        <w:top w:val="none" w:sz="0" w:space="0" w:color="auto"/>
        <w:left w:val="none" w:sz="0" w:space="0" w:color="auto"/>
        <w:bottom w:val="none" w:sz="0" w:space="0" w:color="auto"/>
        <w:right w:val="none" w:sz="0" w:space="0" w:color="auto"/>
      </w:divBdr>
    </w:div>
    <w:div w:id="1969160196">
      <w:bodyDiv w:val="1"/>
      <w:marLeft w:val="0"/>
      <w:marRight w:val="0"/>
      <w:marTop w:val="0"/>
      <w:marBottom w:val="0"/>
      <w:divBdr>
        <w:top w:val="none" w:sz="0" w:space="0" w:color="auto"/>
        <w:left w:val="none" w:sz="0" w:space="0" w:color="auto"/>
        <w:bottom w:val="none" w:sz="0" w:space="0" w:color="auto"/>
        <w:right w:val="none" w:sz="0" w:space="0" w:color="auto"/>
      </w:divBdr>
      <w:divsChild>
        <w:div w:id="1351684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ley.com/en-us/Interaction+Design%3A+Beyond+Human+Computer+Interaction%2C+4th+Edition-p-9781119020752" TargetMode="External"/><Relationship Id="rId3" Type="http://schemas.openxmlformats.org/officeDocument/2006/relationships/settings" Target="settings.xml"/><Relationship Id="rId7" Type="http://schemas.openxmlformats.org/officeDocument/2006/relationships/hyperlink" Target="https://link.springer.com/book/10.1007/978-3-030-0512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00766-021-00363-y" TargetMode="External"/><Relationship Id="rId11" Type="http://schemas.openxmlformats.org/officeDocument/2006/relationships/theme" Target="theme/theme1.xml"/><Relationship Id="rId5" Type="http://schemas.openxmlformats.org/officeDocument/2006/relationships/hyperlink" Target="https://books.goog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org/TR/WCAG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1</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katleho nthunya</dc:creator>
  <cp:keywords/>
  <dc:description/>
  <cp:lastModifiedBy>katleho nthunya</cp:lastModifiedBy>
  <cp:revision>3</cp:revision>
  <dcterms:created xsi:type="dcterms:W3CDTF">2025-04-17T08:07:00Z</dcterms:created>
  <dcterms:modified xsi:type="dcterms:W3CDTF">2025-04-17T14:14:00Z</dcterms:modified>
</cp:coreProperties>
</file>