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8E29BF" w14:textId="4A49015F" w:rsidR="000F7867" w:rsidRPr="00FC0936" w:rsidRDefault="00380871" w:rsidP="00380871">
      <w:pPr>
        <w:pStyle w:val="NoSpacing"/>
        <w:rPr>
          <w:rFonts w:cstheme="minorHAnsi"/>
          <w:sz w:val="26"/>
          <w:szCs w:val="26"/>
        </w:rPr>
      </w:pPr>
      <w:r w:rsidRPr="00FC0936">
        <w:rPr>
          <w:rFonts w:cstheme="minorHAnsi"/>
          <w:sz w:val="26"/>
          <w:szCs w:val="26"/>
        </w:rPr>
        <w:t>ST10301242</w:t>
      </w:r>
    </w:p>
    <w:p w14:paraId="6DC668DC" w14:textId="5292DBB5" w:rsidR="00380871" w:rsidRPr="00FC0936" w:rsidRDefault="00380871" w:rsidP="00380871">
      <w:pPr>
        <w:pStyle w:val="NoSpacing"/>
        <w:rPr>
          <w:rFonts w:cstheme="minorHAnsi"/>
          <w:sz w:val="26"/>
          <w:szCs w:val="26"/>
        </w:rPr>
      </w:pPr>
      <w:r w:rsidRPr="00FC0936">
        <w:rPr>
          <w:rFonts w:cstheme="minorHAnsi"/>
          <w:sz w:val="26"/>
          <w:szCs w:val="26"/>
        </w:rPr>
        <w:t>Research in ICT</w:t>
      </w:r>
    </w:p>
    <w:p w14:paraId="670393AE" w14:textId="15A5C652" w:rsidR="00380871" w:rsidRPr="00FC0936" w:rsidRDefault="00380871" w:rsidP="00380871">
      <w:pPr>
        <w:pStyle w:val="NoSpacing"/>
        <w:rPr>
          <w:rFonts w:cstheme="minorHAnsi"/>
          <w:sz w:val="26"/>
          <w:szCs w:val="26"/>
        </w:rPr>
      </w:pPr>
      <w:r w:rsidRPr="00FC0936">
        <w:rPr>
          <w:rFonts w:cstheme="minorHAnsi"/>
          <w:sz w:val="26"/>
          <w:szCs w:val="26"/>
        </w:rPr>
        <w:t>KL Nthunya</w:t>
      </w:r>
    </w:p>
    <w:p w14:paraId="13B5E400" w14:textId="28069FC9" w:rsidR="00380871" w:rsidRPr="00FC0936" w:rsidRDefault="00380871">
      <w:pPr>
        <w:rPr>
          <w:rFonts w:cstheme="minorHAnsi"/>
          <w:sz w:val="26"/>
          <w:szCs w:val="26"/>
        </w:rPr>
      </w:pPr>
      <w:r w:rsidRPr="00FC0936">
        <w:rPr>
          <w:rFonts w:cstheme="minorHAnsi"/>
          <w:sz w:val="26"/>
          <w:szCs w:val="26"/>
        </w:rPr>
        <w:t xml:space="preserve">Gro 01 </w:t>
      </w:r>
    </w:p>
    <w:p w14:paraId="212CAF5A" w14:textId="6FA49805" w:rsidR="00380871" w:rsidRDefault="00380871" w:rsidP="00380871">
      <w:pPr>
        <w:pStyle w:val="Heading1"/>
        <w:rPr>
          <w:b/>
          <w:bCs/>
          <w:color w:val="auto"/>
        </w:rPr>
      </w:pPr>
      <w:r w:rsidRPr="00380871">
        <w:rPr>
          <w:b/>
          <w:bCs/>
          <w:color w:val="auto"/>
        </w:rPr>
        <w:t>Question 1</w:t>
      </w:r>
    </w:p>
    <w:p w14:paraId="1868F985" w14:textId="448AEDFF" w:rsidR="00D418D7" w:rsidRDefault="00D418D7" w:rsidP="00D418D7">
      <w:pPr>
        <w:pStyle w:val="Quote"/>
        <w:rPr>
          <w:b/>
          <w:bCs/>
          <w:sz w:val="32"/>
          <w:szCs w:val="32"/>
        </w:rPr>
      </w:pPr>
      <w:r w:rsidRPr="00D418D7">
        <w:rPr>
          <w:b/>
          <w:bCs/>
          <w:sz w:val="32"/>
          <w:szCs w:val="32"/>
        </w:rPr>
        <w:t>Introduction</w:t>
      </w:r>
    </w:p>
    <w:p w14:paraId="20D9347E" w14:textId="7ED5CD4B" w:rsidR="00D418D7" w:rsidRPr="00D418D7" w:rsidRDefault="00D418D7" w:rsidP="00D418D7">
      <w:pPr>
        <w:pStyle w:val="Quote"/>
        <w:rPr>
          <w:sz w:val="26"/>
          <w:szCs w:val="26"/>
        </w:rPr>
      </w:pPr>
      <w:r w:rsidRPr="00D418D7">
        <w:rPr>
          <w:sz w:val="26"/>
          <w:szCs w:val="26"/>
        </w:rPr>
        <w:t>Three peer-reviewed research publications are critically analy</w:t>
      </w:r>
      <w:r w:rsidRPr="00D418D7">
        <w:rPr>
          <w:sz w:val="26"/>
          <w:szCs w:val="26"/>
        </w:rPr>
        <w:t>s</w:t>
      </w:r>
      <w:r w:rsidRPr="00D418D7">
        <w:rPr>
          <w:sz w:val="26"/>
          <w:szCs w:val="26"/>
        </w:rPr>
        <w:t>ed in Question 1, with an emphasis on the underlying research paradigms, methodology, issues, data gathering methods, and ethical considerations. The purpose of this examination is to show that the student can evaluate and analyze the academic quality, purpose, and execution of published studies in a variety of subjects. These assessments provide a theoretical framework as well as a comparative perspective that can be used to build applied research.</w:t>
      </w:r>
      <w:r w:rsidRPr="00D418D7">
        <w:rPr>
          <w:sz w:val="26"/>
          <w:szCs w:val="26"/>
        </w:rPr>
        <w:t xml:space="preserve"> </w:t>
      </w:r>
    </w:p>
    <w:p w14:paraId="628B2D95" w14:textId="6E351EEA" w:rsidR="000307EC" w:rsidRPr="00231F9E" w:rsidRDefault="000307EC" w:rsidP="000307EC">
      <w:pPr>
        <w:pStyle w:val="Quote"/>
        <w:rPr>
          <w:sz w:val="30"/>
          <w:szCs w:val="30"/>
        </w:rPr>
      </w:pPr>
      <w:r w:rsidRPr="00380871">
        <w:rPr>
          <w:sz w:val="30"/>
          <w:szCs w:val="30"/>
        </w:rPr>
        <w:t xml:space="preserve">The </w:t>
      </w:r>
      <w:r w:rsidRPr="00380871">
        <w:rPr>
          <w:rStyle w:val="Strong"/>
          <w:sz w:val="30"/>
          <w:szCs w:val="30"/>
        </w:rPr>
        <w:t>paradigm/tradition</w:t>
      </w:r>
      <w:r w:rsidRPr="00380871">
        <w:rPr>
          <w:sz w:val="30"/>
          <w:szCs w:val="30"/>
        </w:rPr>
        <w:t xml:space="preserve"> for each article</w:t>
      </w:r>
    </w:p>
    <w:p w14:paraId="1060A1F2" w14:textId="457C9252" w:rsidR="000307EC" w:rsidRPr="001B526E" w:rsidRDefault="000307EC" w:rsidP="001B526E">
      <w:pPr>
        <w:rPr>
          <w:rFonts w:ascii="Times New Roman" w:eastAsia="Times New Roman" w:hAnsi="Times New Roman" w:cs="Times New Roman"/>
          <w:sz w:val="24"/>
          <w:szCs w:val="24"/>
          <w:lang w:eastAsia="en-ZA"/>
        </w:rPr>
      </w:pPr>
      <w:r w:rsidRPr="00231F9E">
        <w:rPr>
          <w:rFonts w:eastAsia="Times New Roman" w:cstheme="minorHAnsi"/>
          <w:b/>
          <w:bCs/>
          <w:sz w:val="24"/>
          <w:szCs w:val="24"/>
          <w:lang w:eastAsia="en-ZA"/>
        </w:rPr>
        <w:t>Article 1: Ntoyanto-Tyatyanstsi &amp; Makola (2023)</w:t>
      </w:r>
      <w:r w:rsidRPr="00231F9E">
        <w:rPr>
          <w:rFonts w:eastAsia="Times New Roman" w:cstheme="minorHAnsi"/>
          <w:sz w:val="24"/>
          <w:szCs w:val="24"/>
          <w:lang w:eastAsia="en-ZA"/>
        </w:rPr>
        <w:br/>
      </w:r>
      <w:r w:rsidR="00B22F46" w:rsidRPr="00B22F46">
        <w:rPr>
          <w:rFonts w:eastAsia="Times New Roman" w:cstheme="minorHAnsi"/>
          <w:sz w:val="24"/>
          <w:szCs w:val="24"/>
          <w:lang w:eastAsia="en-ZA"/>
        </w:rPr>
        <w:t>Article 1: Ntoyanto-Tyatyanstsi &amp; Makola (2023)</w:t>
      </w:r>
      <w:r w:rsidR="00B22F46" w:rsidRPr="00B22F46">
        <w:rPr>
          <w:rFonts w:eastAsia="Times New Roman" w:cstheme="minorHAnsi"/>
          <w:sz w:val="24"/>
          <w:szCs w:val="24"/>
          <w:lang w:eastAsia="en-ZA"/>
        </w:rPr>
        <w:br/>
        <w:t xml:space="preserve">The </w:t>
      </w:r>
      <w:r w:rsidR="00B22F46" w:rsidRPr="004F1C09">
        <w:rPr>
          <w:rFonts w:eastAsia="Times New Roman" w:cstheme="minorHAnsi"/>
          <w:b/>
          <w:bCs/>
          <w:sz w:val="24"/>
          <w:szCs w:val="24"/>
          <w:lang w:eastAsia="en-ZA"/>
        </w:rPr>
        <w:t>interpretivist paradigm</w:t>
      </w:r>
      <w:r w:rsidR="00B22F46" w:rsidRPr="00B22F46">
        <w:rPr>
          <w:rFonts w:eastAsia="Times New Roman" w:cstheme="minorHAnsi"/>
          <w:sz w:val="24"/>
          <w:szCs w:val="24"/>
          <w:lang w:eastAsia="en-ZA"/>
        </w:rPr>
        <w:t>, which stresses the subjective interpretation of human experiences, is adopted in this essay. The goal of the study is to investigate how postgraduate students at South African higher education institutions perceive and comprehend research ethics. Interpretivism is based on the idea that people's interpretations of reality are the best way to understand it because reality is socially created.</w:t>
      </w:r>
      <w:r w:rsidR="00433E10">
        <w:rPr>
          <w:rFonts w:eastAsia="Times New Roman" w:cstheme="minorHAnsi"/>
          <w:sz w:val="24"/>
          <w:szCs w:val="24"/>
          <w:lang w:eastAsia="en-ZA"/>
        </w:rPr>
        <w:t xml:space="preserve"> </w:t>
      </w:r>
      <w:r w:rsidR="00B22F46" w:rsidRPr="00B22F46">
        <w:rPr>
          <w:rFonts w:eastAsia="Times New Roman" w:cstheme="minorHAnsi"/>
          <w:sz w:val="24"/>
          <w:szCs w:val="24"/>
          <w:lang w:eastAsia="en-ZA"/>
        </w:rPr>
        <w:t>In this regard, the study aims to identify the meanings and interpretations that students ascribe to ethical research practices, particularly in the context of developing proposals, gathering data, and interacting with supervisors. This paradigm is supported by the qualitative character of the data gathering process, which involves conducting interviews and enables a thorough examination of intricate, subtle problems that are impossible to measure.</w:t>
      </w:r>
      <w:r w:rsidR="00B22F46">
        <w:rPr>
          <w:rFonts w:eastAsia="Times New Roman" w:cstheme="minorHAnsi"/>
          <w:sz w:val="24"/>
          <w:szCs w:val="24"/>
          <w:lang w:eastAsia="en-ZA"/>
        </w:rPr>
        <w:t xml:space="preserve"> </w:t>
      </w:r>
      <w:r w:rsidR="00B22F46" w:rsidRPr="00B22F46">
        <w:rPr>
          <w:rFonts w:eastAsia="Times New Roman" w:cstheme="minorHAnsi"/>
          <w:sz w:val="24"/>
          <w:szCs w:val="24"/>
          <w:lang w:eastAsia="en-ZA"/>
        </w:rPr>
        <w:t>A human-centered, interpretive approach to knowledge development is further indicated by Makola and Ntoyanto-Tyatyanstsi's (2023) emphasis on the necessity of institutional reform based on participants' perspectives.</w:t>
      </w:r>
      <w:r w:rsidRPr="00231F9E">
        <w:rPr>
          <w:rFonts w:eastAsia="Times New Roman" w:cstheme="minorHAnsi"/>
          <w:sz w:val="24"/>
          <w:szCs w:val="24"/>
          <w:lang w:eastAsia="en-ZA"/>
        </w:rPr>
        <w:br/>
      </w:r>
      <w:r w:rsidRPr="00231F9E">
        <w:rPr>
          <w:rFonts w:eastAsia="Times New Roman" w:cstheme="minorHAnsi"/>
          <w:sz w:val="24"/>
          <w:szCs w:val="24"/>
          <w:lang w:eastAsia="en-ZA"/>
        </w:rPr>
        <w:br/>
      </w:r>
      <w:r w:rsidRPr="00231F9E">
        <w:rPr>
          <w:rFonts w:eastAsia="Times New Roman" w:cstheme="minorHAnsi"/>
          <w:b/>
          <w:bCs/>
          <w:sz w:val="24"/>
          <w:szCs w:val="24"/>
          <w:lang w:eastAsia="en-ZA"/>
        </w:rPr>
        <w:t>Article 2: Chinje &amp; Dlamini (2019)</w:t>
      </w:r>
      <w:r w:rsidRPr="00231F9E">
        <w:rPr>
          <w:rFonts w:eastAsia="Times New Roman" w:cstheme="minorHAnsi"/>
          <w:b/>
          <w:bCs/>
          <w:sz w:val="24"/>
          <w:szCs w:val="24"/>
          <w:lang w:eastAsia="en-ZA"/>
        </w:rPr>
        <w:br/>
      </w:r>
      <w:r w:rsidR="001B526E" w:rsidRPr="001B526E">
        <w:rPr>
          <w:rFonts w:eastAsia="Times New Roman" w:cstheme="minorHAnsi"/>
          <w:sz w:val="24"/>
          <w:szCs w:val="24"/>
          <w:lang w:eastAsia="en-ZA"/>
        </w:rPr>
        <w:t xml:space="preserve">The </w:t>
      </w:r>
      <w:r w:rsidR="001B526E" w:rsidRPr="004F1C09">
        <w:rPr>
          <w:rFonts w:eastAsia="Times New Roman" w:cstheme="minorHAnsi"/>
          <w:b/>
          <w:bCs/>
          <w:sz w:val="24"/>
          <w:szCs w:val="24"/>
          <w:lang w:eastAsia="en-ZA"/>
        </w:rPr>
        <w:t>positivist paradigm</w:t>
      </w:r>
      <w:r w:rsidR="001B526E" w:rsidRPr="001B526E">
        <w:rPr>
          <w:rFonts w:eastAsia="Times New Roman" w:cstheme="minorHAnsi"/>
          <w:sz w:val="24"/>
          <w:szCs w:val="24"/>
          <w:lang w:eastAsia="en-ZA"/>
        </w:rPr>
        <w:t xml:space="preserve">, which holds that reality is objective and measurable by empirical data, is the foundation of this essay. Using quantitative information gathered through organized surveys, the researchers evaluate theories regarding consumer behavior. The methodology is based on positivism, which allows the study to gauge how strongly loyalty programs and young repeat purchase behavior are related in South Africa. The researchers want to make inferences regarding broad trends in consumer behavior by using statistical methods like regression analysis. Dlamini and Chinje's (2019) methodical and theory-driven </w:t>
      </w:r>
      <w:r w:rsidR="001B526E" w:rsidRPr="001B526E">
        <w:rPr>
          <w:rFonts w:eastAsia="Times New Roman" w:cstheme="minorHAnsi"/>
          <w:sz w:val="24"/>
          <w:szCs w:val="24"/>
          <w:lang w:eastAsia="en-ZA"/>
        </w:rPr>
        <w:lastRenderedPageBreak/>
        <w:t>study reflects the positivist tradition's emphasis on replicability and causation, as well as its use of a sizable, quantified dataset.</w:t>
      </w:r>
    </w:p>
    <w:p w14:paraId="66317B35" w14:textId="77777777" w:rsidR="000307EC" w:rsidRDefault="000307EC" w:rsidP="000307EC">
      <w:pPr>
        <w:spacing w:after="0" w:line="240" w:lineRule="auto"/>
        <w:rPr>
          <w:rFonts w:eastAsia="Times New Roman" w:cstheme="minorHAnsi"/>
          <w:sz w:val="24"/>
          <w:szCs w:val="24"/>
          <w:lang w:eastAsia="en-ZA"/>
        </w:rPr>
      </w:pPr>
    </w:p>
    <w:p w14:paraId="1350863C" w14:textId="77777777" w:rsidR="000307EC" w:rsidRPr="00231F9E" w:rsidRDefault="000307EC" w:rsidP="000307EC">
      <w:pPr>
        <w:spacing w:after="0" w:line="240" w:lineRule="auto"/>
        <w:rPr>
          <w:rFonts w:eastAsia="Times New Roman" w:cstheme="minorHAnsi"/>
          <w:b/>
          <w:bCs/>
          <w:sz w:val="24"/>
          <w:szCs w:val="24"/>
          <w:lang w:eastAsia="en-ZA"/>
        </w:rPr>
      </w:pPr>
      <w:r w:rsidRPr="00231F9E">
        <w:rPr>
          <w:rFonts w:eastAsia="Times New Roman" w:cstheme="minorHAnsi"/>
          <w:b/>
          <w:bCs/>
          <w:sz w:val="24"/>
          <w:szCs w:val="24"/>
          <w:lang w:eastAsia="en-ZA"/>
        </w:rPr>
        <w:t>Article 3: Adu &amp; Badaru, (2020)</w:t>
      </w:r>
    </w:p>
    <w:p w14:paraId="37BDB7CE" w14:textId="76F99688" w:rsidR="00380871" w:rsidRDefault="001B526E" w:rsidP="001B526E">
      <w:pPr>
        <w:spacing w:after="0" w:line="240" w:lineRule="auto"/>
        <w:rPr>
          <w:rFonts w:eastAsia="Times New Roman" w:cstheme="minorHAnsi"/>
          <w:sz w:val="24"/>
          <w:szCs w:val="24"/>
          <w:lang w:eastAsia="en-ZA"/>
        </w:rPr>
      </w:pPr>
      <w:r w:rsidRPr="001B526E">
        <w:rPr>
          <w:rFonts w:eastAsia="Times New Roman" w:cstheme="minorHAnsi"/>
          <w:sz w:val="24"/>
          <w:szCs w:val="24"/>
          <w:lang w:eastAsia="en-ZA"/>
        </w:rPr>
        <w:t xml:space="preserve">The </w:t>
      </w:r>
      <w:r w:rsidRPr="001B526E">
        <w:rPr>
          <w:rFonts w:eastAsia="Times New Roman" w:cstheme="minorHAnsi"/>
          <w:b/>
          <w:bCs/>
          <w:sz w:val="24"/>
          <w:szCs w:val="24"/>
          <w:lang w:eastAsia="en-ZA"/>
        </w:rPr>
        <w:t>pragmatic paradigm</w:t>
      </w:r>
      <w:r w:rsidRPr="001B526E">
        <w:rPr>
          <w:rFonts w:eastAsia="Times New Roman" w:cstheme="minorHAnsi"/>
          <w:sz w:val="24"/>
          <w:szCs w:val="24"/>
          <w:lang w:eastAsia="en-ZA"/>
        </w:rPr>
        <w:t>, which combines qualitative and quantitative methods to tackle difficult, real-world issues, is used in this study. The focus of pragmatics is on real-world results rather than rigorous adherence to intellectual underpinnings. Applying this approach, Adu and Badaru (2020) examine how media usage habits among college students affect their political engagement by fusing survey data with qualitative interviews. The authors are able to examine both the subjective motivations driving students' political behavior and the statistical patterns of media intake thanks to this adaptable framework. Because it takes into account the dynamic nature of digital media, young behavior, and civic engagement, the pragmatic approach is appropriate in this situation. It acknowledges that the complexity of student media behaviors cannot be adequately captured by a single approach.</w:t>
      </w:r>
    </w:p>
    <w:p w14:paraId="2293A560" w14:textId="77777777" w:rsidR="001B526E" w:rsidRPr="001B526E" w:rsidRDefault="001B526E" w:rsidP="001B526E">
      <w:pPr>
        <w:spacing w:after="0" w:line="240" w:lineRule="auto"/>
        <w:rPr>
          <w:rFonts w:eastAsia="Times New Roman" w:cstheme="minorHAnsi"/>
          <w:sz w:val="24"/>
          <w:szCs w:val="24"/>
          <w:lang w:eastAsia="en-ZA"/>
        </w:rPr>
      </w:pPr>
    </w:p>
    <w:p w14:paraId="0EFFA80A" w14:textId="6906877E" w:rsidR="00231F9E" w:rsidRPr="00231F9E" w:rsidRDefault="00231F9E" w:rsidP="00231F9E">
      <w:pPr>
        <w:pStyle w:val="Quote"/>
        <w:rPr>
          <w:b/>
          <w:bCs/>
          <w:sz w:val="30"/>
          <w:szCs w:val="30"/>
        </w:rPr>
      </w:pPr>
      <w:r w:rsidRPr="00231F9E">
        <w:rPr>
          <w:b/>
          <w:bCs/>
          <w:sz w:val="30"/>
          <w:szCs w:val="30"/>
        </w:rPr>
        <w:t>Research Methodology</w:t>
      </w:r>
    </w:p>
    <w:p w14:paraId="2C69FE09" w14:textId="13E5EE7A" w:rsidR="003F4646" w:rsidRPr="003F4646" w:rsidRDefault="003F4646" w:rsidP="004F1C09">
      <w:pPr>
        <w:rPr>
          <w:rFonts w:ascii="Times New Roman" w:eastAsia="Times New Roman" w:hAnsi="Times New Roman" w:cs="Times New Roman"/>
          <w:sz w:val="24"/>
          <w:szCs w:val="24"/>
          <w:lang w:eastAsia="en-ZA"/>
        </w:rPr>
      </w:pPr>
      <w:r w:rsidRPr="003F4646">
        <w:rPr>
          <w:rFonts w:eastAsia="Times New Roman" w:cstheme="minorHAnsi"/>
          <w:b/>
          <w:bCs/>
          <w:sz w:val="24"/>
          <w:szCs w:val="24"/>
          <w:lang w:eastAsia="en-ZA"/>
        </w:rPr>
        <w:t>Article 1: Ntoyanto-Tyatyanstsi &amp; Makola (2023)</w:t>
      </w:r>
      <w:r w:rsidRPr="003F4646">
        <w:rPr>
          <w:rFonts w:eastAsia="Times New Roman" w:cstheme="minorHAnsi"/>
          <w:sz w:val="24"/>
          <w:szCs w:val="24"/>
          <w:lang w:eastAsia="en-ZA"/>
        </w:rPr>
        <w:br/>
      </w:r>
      <w:r w:rsidR="004F1C09" w:rsidRPr="004F1C09">
        <w:rPr>
          <w:rFonts w:eastAsia="Times New Roman" w:cstheme="minorHAnsi"/>
          <w:sz w:val="24"/>
          <w:szCs w:val="24"/>
          <w:lang w:eastAsia="en-ZA"/>
        </w:rPr>
        <w:t xml:space="preserve">The researchers investigate postgraduate students' views and experiences with research ethics using a </w:t>
      </w:r>
      <w:r w:rsidR="004F1C09" w:rsidRPr="004F1C09">
        <w:rPr>
          <w:rFonts w:eastAsia="Times New Roman" w:cstheme="minorHAnsi"/>
          <w:b/>
          <w:bCs/>
          <w:sz w:val="24"/>
          <w:szCs w:val="24"/>
          <w:lang w:eastAsia="en-ZA"/>
        </w:rPr>
        <w:t>qualitative methodology</w:t>
      </w:r>
      <w:r w:rsidR="004F1C09" w:rsidRPr="004F1C09">
        <w:rPr>
          <w:rFonts w:eastAsia="Times New Roman" w:cstheme="minorHAnsi"/>
          <w:sz w:val="24"/>
          <w:szCs w:val="24"/>
          <w:lang w:eastAsia="en-ZA"/>
        </w:rPr>
        <w:t>, more precisely a phenomenological approach. The goal of phenomenology is to comprehend things by means of people's actual experiences. In-depth, semi-structured interviews with postgraduate students were used to collect data for this study, which enabled the researchers to delve deeper into the participants' interpretations of ethical standards, procedures, and difficulties.</w:t>
      </w:r>
      <w:r w:rsidR="00433E10">
        <w:rPr>
          <w:rFonts w:eastAsia="Times New Roman" w:cstheme="minorHAnsi"/>
          <w:sz w:val="24"/>
          <w:szCs w:val="24"/>
          <w:lang w:eastAsia="en-ZA"/>
        </w:rPr>
        <w:t xml:space="preserve"> </w:t>
      </w:r>
      <w:r w:rsidR="004F1C09" w:rsidRPr="004F1C09">
        <w:rPr>
          <w:rFonts w:eastAsia="Times New Roman" w:cstheme="minorHAnsi"/>
          <w:sz w:val="24"/>
          <w:szCs w:val="24"/>
          <w:lang w:eastAsia="en-ZA"/>
        </w:rPr>
        <w:t>The approach</w:t>
      </w:r>
      <w:r w:rsidR="00433E10">
        <w:rPr>
          <w:rFonts w:eastAsia="Times New Roman" w:cstheme="minorHAnsi"/>
          <w:sz w:val="24"/>
          <w:szCs w:val="24"/>
          <w:lang w:eastAsia="en-ZA"/>
        </w:rPr>
        <w:t xml:space="preserve"> used</w:t>
      </w:r>
      <w:r w:rsidR="004F1C09" w:rsidRPr="004F1C09">
        <w:rPr>
          <w:rFonts w:eastAsia="Times New Roman" w:cstheme="minorHAnsi"/>
          <w:sz w:val="24"/>
          <w:szCs w:val="24"/>
          <w:lang w:eastAsia="en-ZA"/>
        </w:rPr>
        <w:t xml:space="preserve"> is in line with the objective of identifying complex moral conundrums and institutional support deficiencies. According to Makola and Ntoyanto-Tyatyanstsi (2023), this method is perfect for investigating subjective topics such as morality, guidance, and the interpretation of ethical principles in a variety of academic contexts.</w:t>
      </w:r>
      <w:r w:rsidRPr="003F4646">
        <w:rPr>
          <w:rFonts w:eastAsia="Times New Roman" w:cstheme="minorHAnsi"/>
          <w:sz w:val="24"/>
          <w:szCs w:val="24"/>
          <w:lang w:eastAsia="en-ZA"/>
        </w:rPr>
        <w:br/>
      </w:r>
      <w:r w:rsidRPr="003F4646">
        <w:rPr>
          <w:rFonts w:eastAsia="Times New Roman" w:cstheme="minorHAnsi"/>
          <w:sz w:val="24"/>
          <w:szCs w:val="24"/>
          <w:lang w:eastAsia="en-ZA"/>
        </w:rPr>
        <w:br/>
      </w:r>
      <w:r w:rsidRPr="003F4646">
        <w:rPr>
          <w:rFonts w:eastAsia="Times New Roman" w:cstheme="minorHAnsi"/>
          <w:b/>
          <w:bCs/>
          <w:sz w:val="24"/>
          <w:szCs w:val="24"/>
          <w:lang w:eastAsia="en-ZA"/>
        </w:rPr>
        <w:t>Article 2: Chinje &amp; Dlamini (2019)</w:t>
      </w:r>
      <w:r w:rsidRPr="003F4646">
        <w:rPr>
          <w:rFonts w:eastAsia="Times New Roman" w:cstheme="minorHAnsi"/>
          <w:sz w:val="24"/>
          <w:szCs w:val="24"/>
          <w:lang w:eastAsia="en-ZA"/>
        </w:rPr>
        <w:br/>
      </w:r>
      <w:r w:rsidR="00341EF2" w:rsidRPr="00341EF2">
        <w:rPr>
          <w:rFonts w:eastAsia="Times New Roman" w:cstheme="minorHAnsi"/>
          <w:b/>
          <w:bCs/>
          <w:sz w:val="24"/>
          <w:szCs w:val="24"/>
          <w:lang w:eastAsia="en-ZA"/>
        </w:rPr>
        <w:t>A quantitative survey-based approach</w:t>
      </w:r>
      <w:r w:rsidR="00341EF2" w:rsidRPr="00341EF2">
        <w:rPr>
          <w:rFonts w:eastAsia="Times New Roman" w:cstheme="minorHAnsi"/>
          <w:sz w:val="24"/>
          <w:szCs w:val="24"/>
          <w:lang w:eastAsia="en-ZA"/>
        </w:rPr>
        <w:t xml:space="preserve"> is employed to look into how loyalty programs affect young people's purchasing decisions. In order to collect information on young South African consumers' shopping patterns and exposure to loyalty programs, the researchers sent them standardized questionnaires. Regression models and other statistical methods were used to examine the replies in order to find trends and connections.</w:t>
      </w:r>
      <w:r w:rsidR="00341EF2" w:rsidRPr="00341EF2">
        <w:rPr>
          <w:rFonts w:eastAsia="Times New Roman" w:cstheme="minorHAnsi"/>
          <w:sz w:val="24"/>
          <w:szCs w:val="24"/>
          <w:lang w:eastAsia="en-ZA"/>
        </w:rPr>
        <w:br/>
        <w:t>This approach, which has its roots in empirical research, aims to provide a generalizable explanation of the connection between brand loyalty and loyalty programs for a larger population. The study's quantitative focus is supported by the well-defined hypothesis-testing methodology, numerical data collecting, and structured format (Dlamini and Chinje, 2019).</w:t>
      </w:r>
      <w:r w:rsidRPr="003F4646">
        <w:rPr>
          <w:rFonts w:eastAsia="Times New Roman" w:cstheme="minorHAnsi"/>
          <w:sz w:val="24"/>
          <w:szCs w:val="24"/>
          <w:lang w:eastAsia="en-ZA"/>
        </w:rPr>
        <w:br/>
      </w:r>
      <w:r w:rsidRPr="003F4646">
        <w:rPr>
          <w:rFonts w:eastAsia="Times New Roman" w:cstheme="minorHAnsi"/>
          <w:sz w:val="24"/>
          <w:szCs w:val="24"/>
          <w:lang w:eastAsia="en-ZA"/>
        </w:rPr>
        <w:br/>
      </w:r>
      <w:r w:rsidRPr="003F4646">
        <w:rPr>
          <w:rFonts w:eastAsia="Times New Roman" w:cstheme="minorHAnsi"/>
          <w:b/>
          <w:bCs/>
          <w:sz w:val="24"/>
          <w:szCs w:val="24"/>
          <w:lang w:eastAsia="en-ZA"/>
        </w:rPr>
        <w:t>Adu &amp; Badaru, Article 3 (2020)</w:t>
      </w:r>
      <w:r w:rsidRPr="003F4646">
        <w:rPr>
          <w:rFonts w:eastAsia="Times New Roman" w:cstheme="minorHAnsi"/>
          <w:sz w:val="24"/>
          <w:szCs w:val="24"/>
          <w:lang w:eastAsia="en-ZA"/>
        </w:rPr>
        <w:br/>
      </w:r>
      <w:r w:rsidR="00341EF2" w:rsidRPr="00341EF2">
        <w:rPr>
          <w:rFonts w:eastAsia="Times New Roman" w:cstheme="minorHAnsi"/>
          <w:sz w:val="24"/>
          <w:szCs w:val="24"/>
          <w:lang w:eastAsia="en-ZA"/>
        </w:rPr>
        <w:t>A</w:t>
      </w:r>
      <w:r w:rsidR="00341EF2" w:rsidRPr="00341EF2">
        <w:rPr>
          <w:rFonts w:eastAsia="Times New Roman" w:cstheme="minorHAnsi"/>
          <w:sz w:val="24"/>
          <w:szCs w:val="24"/>
          <w:lang w:eastAsia="en-ZA"/>
        </w:rPr>
        <w:t xml:space="preserve"> mixed-methods strategy that looks into the media consumption and political participation of college students by combining quantitative and qualitative techniques. A thorough grasp of both what and why students use media is made possible by this dual-method approach. Large-scale data regarding media consumption patterns was gathered through surveys, but in-depth understanding of students' motivations and the impact of political media was gained through interviews. Triangulation is made possible by using both data forms, which improves the validity of the results. In investigations where both behavio</w:t>
      </w:r>
      <w:r w:rsidR="00341EF2">
        <w:rPr>
          <w:rFonts w:eastAsia="Times New Roman" w:cstheme="minorHAnsi"/>
          <w:sz w:val="24"/>
          <w:szCs w:val="24"/>
          <w:lang w:eastAsia="en-ZA"/>
        </w:rPr>
        <w:t>u</w:t>
      </w:r>
      <w:r w:rsidR="00341EF2" w:rsidRPr="00341EF2">
        <w:rPr>
          <w:rFonts w:eastAsia="Times New Roman" w:cstheme="minorHAnsi"/>
          <w:sz w:val="24"/>
          <w:szCs w:val="24"/>
          <w:lang w:eastAsia="en-ZA"/>
        </w:rPr>
        <w:t>ral trends and personal narratives are crucial, mixed-methods research works particularly well (Adu and Badaru, 2020).</w:t>
      </w:r>
    </w:p>
    <w:p w14:paraId="669BB948" w14:textId="3C48E9FA" w:rsidR="00231F9E" w:rsidRPr="003F4646" w:rsidRDefault="003F4646" w:rsidP="003F4646">
      <w:pPr>
        <w:pStyle w:val="Quote"/>
        <w:rPr>
          <w:b/>
          <w:bCs/>
          <w:sz w:val="30"/>
          <w:szCs w:val="30"/>
        </w:rPr>
      </w:pPr>
      <w:r w:rsidRPr="003F4646">
        <w:rPr>
          <w:b/>
          <w:bCs/>
          <w:sz w:val="30"/>
          <w:szCs w:val="30"/>
        </w:rPr>
        <w:t>Research Problem</w:t>
      </w:r>
    </w:p>
    <w:p w14:paraId="1A3FA606" w14:textId="7B1F4071" w:rsidR="009935E9" w:rsidRDefault="003F4646" w:rsidP="009935E9">
      <w:pPr>
        <w:rPr>
          <w:rFonts w:ascii="Times New Roman" w:eastAsia="Times New Roman" w:hAnsi="Times New Roman" w:cs="Times New Roman"/>
          <w:sz w:val="24"/>
          <w:szCs w:val="24"/>
          <w:lang w:eastAsia="en-ZA"/>
        </w:rPr>
      </w:pPr>
      <w:r w:rsidRPr="003F4646">
        <w:rPr>
          <w:rFonts w:eastAsia="Times New Roman" w:cstheme="minorHAnsi"/>
          <w:b/>
          <w:bCs/>
          <w:sz w:val="24"/>
          <w:szCs w:val="24"/>
          <w:lang w:eastAsia="en-ZA"/>
        </w:rPr>
        <w:t>First Article: Ntoyanto-Tyatyanstsi &amp; Makola (2023)</w:t>
      </w:r>
      <w:r w:rsidRPr="003F4646">
        <w:rPr>
          <w:rFonts w:eastAsia="Times New Roman" w:cstheme="minorHAnsi"/>
          <w:sz w:val="24"/>
          <w:szCs w:val="24"/>
          <w:lang w:eastAsia="en-ZA"/>
        </w:rPr>
        <w:br/>
      </w:r>
      <w:r w:rsidR="00341EF2" w:rsidRPr="00341EF2">
        <w:rPr>
          <w:rFonts w:eastAsia="Times New Roman" w:cstheme="minorHAnsi"/>
          <w:sz w:val="24"/>
          <w:szCs w:val="24"/>
          <w:lang w:eastAsia="en-ZA"/>
        </w:rPr>
        <w:t xml:space="preserve">The primary research issue </w:t>
      </w:r>
      <w:r w:rsidR="009935E9">
        <w:rPr>
          <w:rFonts w:eastAsia="Times New Roman" w:cstheme="minorHAnsi"/>
          <w:sz w:val="24"/>
          <w:szCs w:val="24"/>
          <w:lang w:eastAsia="en-ZA"/>
        </w:rPr>
        <w:t xml:space="preserve">in </w:t>
      </w:r>
      <w:r w:rsidR="00341EF2" w:rsidRPr="00341EF2">
        <w:rPr>
          <w:rFonts w:eastAsia="Times New Roman" w:cstheme="minorHAnsi"/>
          <w:sz w:val="24"/>
          <w:szCs w:val="24"/>
          <w:lang w:eastAsia="en-ZA"/>
        </w:rPr>
        <w:t>this study attempts to address is the lack of knowledge on postgraduate students' experiences with research ethics. Although there are institutional ethical policies, little is known about how students actually experience and understand them. Students frequently feel unsupported, ignorant, or underprepared to handle ethical obligations in academic research, according to the authors, who point out a crucial gap between policy implementation and student readiness. Research integrity may be impacted by ethical transgressions or a lack of knowledge about ethical procedures brought on by this gap. The study emphasizes the need for institutional transformation and better ethics education by concentrating on the viewpoints of the students (Makola and Ntoyanto-Tyatyanstsi, 2023).</w:t>
      </w:r>
    </w:p>
    <w:p w14:paraId="6D1CC469" w14:textId="384CF351" w:rsidR="009935E9" w:rsidRPr="009935E9" w:rsidRDefault="003F4646" w:rsidP="009935E9">
      <w:pPr>
        <w:rPr>
          <w:rFonts w:ascii="Times New Roman" w:eastAsia="Times New Roman" w:hAnsi="Times New Roman" w:cs="Times New Roman"/>
          <w:sz w:val="24"/>
          <w:szCs w:val="24"/>
          <w:lang w:eastAsia="en-ZA"/>
        </w:rPr>
      </w:pPr>
      <w:r w:rsidRPr="003F4646">
        <w:rPr>
          <w:rFonts w:eastAsia="Times New Roman" w:cstheme="minorHAnsi"/>
          <w:sz w:val="24"/>
          <w:szCs w:val="24"/>
          <w:lang w:eastAsia="en-ZA"/>
        </w:rPr>
        <w:br/>
      </w:r>
      <w:r w:rsidR="00D103AB">
        <w:rPr>
          <w:rFonts w:eastAsia="Times New Roman" w:cstheme="minorHAnsi"/>
          <w:b/>
          <w:bCs/>
          <w:sz w:val="24"/>
          <w:szCs w:val="24"/>
          <w:lang w:eastAsia="en-ZA"/>
        </w:rPr>
        <w:t>2</w:t>
      </w:r>
      <w:r w:rsidR="00D103AB" w:rsidRPr="00D103AB">
        <w:rPr>
          <w:rFonts w:eastAsia="Times New Roman" w:cstheme="minorHAnsi"/>
          <w:b/>
          <w:bCs/>
          <w:sz w:val="24"/>
          <w:szCs w:val="24"/>
          <w:vertAlign w:val="superscript"/>
          <w:lang w:eastAsia="en-ZA"/>
        </w:rPr>
        <w:t>nd</w:t>
      </w:r>
      <w:r w:rsidR="00D103AB">
        <w:rPr>
          <w:rFonts w:eastAsia="Times New Roman" w:cstheme="minorHAnsi"/>
          <w:b/>
          <w:bCs/>
          <w:sz w:val="24"/>
          <w:szCs w:val="24"/>
          <w:lang w:eastAsia="en-ZA"/>
        </w:rPr>
        <w:t xml:space="preserve"> </w:t>
      </w:r>
      <w:r w:rsidRPr="003F4646">
        <w:rPr>
          <w:rFonts w:eastAsia="Times New Roman" w:cstheme="minorHAnsi"/>
          <w:b/>
          <w:bCs/>
          <w:sz w:val="24"/>
          <w:szCs w:val="24"/>
          <w:lang w:eastAsia="en-ZA"/>
        </w:rPr>
        <w:t>Article</w:t>
      </w:r>
      <w:r w:rsidRPr="003F4646">
        <w:rPr>
          <w:rFonts w:eastAsia="Times New Roman" w:cstheme="minorHAnsi"/>
          <w:b/>
          <w:bCs/>
          <w:sz w:val="24"/>
          <w:szCs w:val="24"/>
          <w:lang w:eastAsia="en-ZA"/>
        </w:rPr>
        <w:t>: Chinje &amp; Dlamini (2019)</w:t>
      </w:r>
      <w:r w:rsidRPr="003F4646">
        <w:rPr>
          <w:rFonts w:eastAsia="Times New Roman" w:cstheme="minorHAnsi"/>
          <w:sz w:val="24"/>
          <w:szCs w:val="24"/>
          <w:lang w:eastAsia="en-ZA"/>
        </w:rPr>
        <w:br/>
      </w:r>
      <w:r w:rsidR="009935E9" w:rsidRPr="009935E9">
        <w:rPr>
          <w:rFonts w:eastAsia="Times New Roman" w:cstheme="minorHAnsi"/>
          <w:sz w:val="24"/>
          <w:szCs w:val="24"/>
          <w:lang w:eastAsia="en-ZA"/>
        </w:rPr>
        <w:t>The dearth of knowledge on the behavio</w:t>
      </w:r>
      <w:r w:rsidR="009935E9" w:rsidRPr="009935E9">
        <w:rPr>
          <w:rFonts w:eastAsia="Times New Roman" w:cstheme="minorHAnsi"/>
          <w:sz w:val="24"/>
          <w:szCs w:val="24"/>
          <w:lang w:eastAsia="en-ZA"/>
        </w:rPr>
        <w:t>u</w:t>
      </w:r>
      <w:r w:rsidR="009935E9" w:rsidRPr="009935E9">
        <w:rPr>
          <w:rFonts w:eastAsia="Times New Roman" w:cstheme="minorHAnsi"/>
          <w:sz w:val="24"/>
          <w:szCs w:val="24"/>
          <w:lang w:eastAsia="en-ZA"/>
        </w:rPr>
        <w:t xml:space="preserve">ral and psychological impacts of loyalty programs on young South African consumers' purchase decisions is the main research issue. Although loyalty programs are extensively used, it is unclear if they actually affect young people's long-term purchasing habits. Brand loyalty is erratic, this group is frequently erratic, and incentives might not always lead to repeat business. The study looks into whether these initiatives actually foster loyalty or if they only promote transient purchasing habits. The authors aim to clarify the </w:t>
      </w:r>
      <w:r w:rsidR="009935E9" w:rsidRPr="009935E9">
        <w:rPr>
          <w:rFonts w:eastAsia="Times New Roman" w:cstheme="minorHAnsi"/>
          <w:sz w:val="24"/>
          <w:szCs w:val="24"/>
          <w:lang w:eastAsia="en-ZA"/>
        </w:rPr>
        <w:t>overal</w:t>
      </w:r>
      <w:r w:rsidR="009935E9" w:rsidRPr="009935E9">
        <w:rPr>
          <w:rFonts w:eastAsia="Times New Roman" w:cstheme="minorHAnsi"/>
          <w:sz w:val="24"/>
          <w:szCs w:val="24"/>
          <w:lang w:eastAsia="en-ZA"/>
        </w:rPr>
        <w:t>l results of loyalty-based marketing tactics and pinpoint weaknesses in the assessment of these initiatives (Dlamini and Chinje, 2019).</w:t>
      </w:r>
    </w:p>
    <w:p w14:paraId="048DF379" w14:textId="0B7DDD5A" w:rsidR="00231F9E" w:rsidRPr="009935E9" w:rsidRDefault="003F4646" w:rsidP="00231F9E">
      <w:pPr>
        <w:rPr>
          <w:rFonts w:ascii="Times New Roman" w:eastAsia="Times New Roman" w:hAnsi="Times New Roman" w:cs="Times New Roman"/>
          <w:sz w:val="24"/>
          <w:szCs w:val="24"/>
          <w:lang w:eastAsia="en-ZA"/>
        </w:rPr>
      </w:pPr>
      <w:r w:rsidRPr="003F4646">
        <w:rPr>
          <w:rFonts w:eastAsia="Times New Roman" w:cstheme="minorHAnsi"/>
          <w:sz w:val="24"/>
          <w:szCs w:val="24"/>
          <w:lang w:eastAsia="en-ZA"/>
        </w:rPr>
        <w:br/>
      </w:r>
      <w:r w:rsidRPr="003F4646">
        <w:rPr>
          <w:rFonts w:eastAsia="Times New Roman" w:cstheme="minorHAnsi"/>
          <w:b/>
          <w:bCs/>
          <w:sz w:val="24"/>
          <w:szCs w:val="24"/>
          <w:lang w:eastAsia="en-ZA"/>
        </w:rPr>
        <w:t>Adu &amp; Badaru, the third article (2020)</w:t>
      </w:r>
      <w:r w:rsidRPr="003F4646">
        <w:rPr>
          <w:rFonts w:eastAsia="Times New Roman" w:cstheme="minorHAnsi"/>
          <w:sz w:val="24"/>
          <w:szCs w:val="24"/>
          <w:lang w:eastAsia="en-ZA"/>
        </w:rPr>
        <w:br/>
      </w:r>
      <w:r w:rsidR="009935E9" w:rsidRPr="009935E9">
        <w:rPr>
          <w:rFonts w:eastAsia="Times New Roman" w:cstheme="minorHAnsi"/>
          <w:sz w:val="24"/>
          <w:szCs w:val="24"/>
          <w:lang w:eastAsia="en-ZA"/>
        </w:rPr>
        <w:t>This article addresses the ambiguous connection between college students' use of digital media and their political engagement. Although young people regularly interact with digital information, it is unclear if this results in actual civic engagement like voting, campaigning, or action. The researchers point out that the intricacies brought about by social media and other digital platforms are not adequately captured by conventional theories of political activity. As a result, their research looks into how digital media might influence political consciousness and action in addition to usage trends. Their investigation is based on the ambiguity in this developing field (Adu and Badaru, 2020).</w:t>
      </w:r>
    </w:p>
    <w:p w14:paraId="3579239E" w14:textId="14405B49" w:rsidR="00231F9E" w:rsidRDefault="0014696E" w:rsidP="0014696E">
      <w:pPr>
        <w:pStyle w:val="Quote"/>
        <w:rPr>
          <w:b/>
          <w:bCs/>
          <w:sz w:val="30"/>
          <w:szCs w:val="30"/>
        </w:rPr>
      </w:pPr>
      <w:r w:rsidRPr="0014696E">
        <w:rPr>
          <w:b/>
          <w:bCs/>
          <w:sz w:val="30"/>
          <w:szCs w:val="30"/>
        </w:rPr>
        <w:t>Population and Parameters</w:t>
      </w:r>
    </w:p>
    <w:p w14:paraId="6A53AA78" w14:textId="090D76A9" w:rsidR="00D103AB" w:rsidRDefault="00D103AB" w:rsidP="00D103AB">
      <w:pPr>
        <w:spacing w:after="0" w:line="240" w:lineRule="auto"/>
        <w:rPr>
          <w:rFonts w:eastAsia="Times New Roman" w:cstheme="minorHAnsi"/>
          <w:sz w:val="24"/>
          <w:szCs w:val="24"/>
          <w:lang w:eastAsia="en-ZA"/>
        </w:rPr>
      </w:pPr>
      <w:r>
        <w:rPr>
          <w:rFonts w:eastAsia="Times New Roman" w:cstheme="minorHAnsi"/>
          <w:b/>
          <w:bCs/>
          <w:sz w:val="24"/>
          <w:szCs w:val="24"/>
          <w:lang w:eastAsia="en-ZA"/>
        </w:rPr>
        <w:t>1</w:t>
      </w:r>
      <w:r w:rsidRPr="00D103AB">
        <w:rPr>
          <w:rFonts w:eastAsia="Times New Roman" w:cstheme="minorHAnsi"/>
          <w:b/>
          <w:bCs/>
          <w:sz w:val="24"/>
          <w:szCs w:val="24"/>
          <w:vertAlign w:val="superscript"/>
          <w:lang w:eastAsia="en-ZA"/>
        </w:rPr>
        <w:t>st</w:t>
      </w:r>
      <w:r>
        <w:rPr>
          <w:rFonts w:eastAsia="Times New Roman" w:cstheme="minorHAnsi"/>
          <w:b/>
          <w:bCs/>
          <w:sz w:val="24"/>
          <w:szCs w:val="24"/>
          <w:lang w:eastAsia="en-ZA"/>
        </w:rPr>
        <w:t xml:space="preserve"> </w:t>
      </w:r>
      <w:r w:rsidRPr="00D103AB">
        <w:rPr>
          <w:rFonts w:eastAsia="Times New Roman" w:cstheme="minorHAnsi"/>
          <w:b/>
          <w:bCs/>
          <w:sz w:val="24"/>
          <w:szCs w:val="24"/>
          <w:lang w:eastAsia="en-ZA"/>
        </w:rPr>
        <w:t>Article: Ntoyanto-Tyatyanstsi &amp; Makola (2023)</w:t>
      </w:r>
      <w:r w:rsidRPr="00D103AB">
        <w:rPr>
          <w:rFonts w:eastAsia="Times New Roman" w:cstheme="minorHAnsi"/>
          <w:sz w:val="24"/>
          <w:szCs w:val="24"/>
          <w:lang w:eastAsia="en-ZA"/>
        </w:rPr>
        <w:br/>
        <w:t>Population: Postgraduate students enrolled in universities in South Africa.</w:t>
      </w:r>
      <w:r w:rsidRPr="00D103AB">
        <w:rPr>
          <w:rFonts w:eastAsia="Times New Roman" w:cstheme="minorHAnsi"/>
          <w:sz w:val="24"/>
          <w:szCs w:val="24"/>
          <w:lang w:eastAsia="en-ZA"/>
        </w:rPr>
        <w:br/>
        <w:t>Parameters: Their knowledge, difficulties, and personal experiences with regard to academic research ethics. According to Makola and Ntoyanto-Tyatyanstsi (2023), the article focuses on how students view the institutional procedures, ethical training, and assistance that are available.</w:t>
      </w:r>
      <w:r w:rsidRPr="00D103AB">
        <w:rPr>
          <w:rFonts w:eastAsia="Times New Roman" w:cstheme="minorHAnsi"/>
          <w:sz w:val="24"/>
          <w:szCs w:val="24"/>
          <w:lang w:eastAsia="en-ZA"/>
        </w:rPr>
        <w:br/>
      </w:r>
      <w:r w:rsidRPr="00D103AB">
        <w:rPr>
          <w:rFonts w:eastAsia="Times New Roman" w:cstheme="minorHAnsi"/>
          <w:sz w:val="24"/>
          <w:szCs w:val="24"/>
          <w:lang w:eastAsia="en-ZA"/>
        </w:rPr>
        <w:br/>
      </w:r>
      <w:r w:rsidRPr="00D103AB">
        <w:rPr>
          <w:rFonts w:eastAsia="Times New Roman" w:cstheme="minorHAnsi"/>
          <w:b/>
          <w:bCs/>
          <w:sz w:val="24"/>
          <w:szCs w:val="24"/>
          <w:lang w:eastAsia="en-ZA"/>
        </w:rPr>
        <w:t>Article 2: Chinje &amp; Dlamini (2019)</w:t>
      </w:r>
      <w:r w:rsidRPr="00D103AB">
        <w:rPr>
          <w:rFonts w:eastAsia="Times New Roman" w:cstheme="minorHAnsi"/>
          <w:sz w:val="24"/>
          <w:szCs w:val="24"/>
          <w:lang w:eastAsia="en-ZA"/>
        </w:rPr>
        <w:br/>
        <w:t>Population: Young consumers in South Africa.</w:t>
      </w:r>
      <w:r w:rsidRPr="00D103AB">
        <w:rPr>
          <w:rFonts w:eastAsia="Times New Roman" w:cstheme="minorHAnsi"/>
          <w:sz w:val="24"/>
          <w:szCs w:val="24"/>
          <w:lang w:eastAsia="en-ZA"/>
        </w:rPr>
        <w:br/>
        <w:t>Parameters: Customer behavior, particularly loyalty program-influenced repeat purchase behavior. The study looks into whether these initiatives help younger consumers develop brand loyalty (Dlamini and Chinje, 2019).</w:t>
      </w:r>
      <w:r w:rsidRPr="00D103AB">
        <w:rPr>
          <w:rFonts w:eastAsia="Times New Roman" w:cstheme="minorHAnsi"/>
          <w:sz w:val="24"/>
          <w:szCs w:val="24"/>
          <w:lang w:eastAsia="en-ZA"/>
        </w:rPr>
        <w:br/>
      </w:r>
    </w:p>
    <w:p w14:paraId="4B4B4509" w14:textId="11950D43" w:rsidR="00D103AB" w:rsidRPr="00D103AB" w:rsidRDefault="00D103AB" w:rsidP="00D103AB">
      <w:pPr>
        <w:spacing w:after="0" w:line="240" w:lineRule="auto"/>
        <w:rPr>
          <w:rFonts w:eastAsia="Times New Roman" w:cstheme="minorHAnsi"/>
          <w:sz w:val="24"/>
          <w:szCs w:val="24"/>
          <w:lang w:eastAsia="en-ZA"/>
        </w:rPr>
      </w:pPr>
      <w:r w:rsidRPr="00D103AB">
        <w:rPr>
          <w:rFonts w:eastAsia="Times New Roman" w:cstheme="minorHAnsi"/>
          <w:b/>
          <w:bCs/>
          <w:sz w:val="24"/>
          <w:szCs w:val="24"/>
          <w:lang w:eastAsia="en-ZA"/>
        </w:rPr>
        <w:t>3</w:t>
      </w:r>
      <w:r w:rsidRPr="00D103AB">
        <w:rPr>
          <w:rFonts w:eastAsia="Times New Roman" w:cstheme="minorHAnsi"/>
          <w:b/>
          <w:bCs/>
          <w:sz w:val="24"/>
          <w:szCs w:val="24"/>
          <w:vertAlign w:val="superscript"/>
          <w:lang w:eastAsia="en-ZA"/>
        </w:rPr>
        <w:t>rd</w:t>
      </w:r>
      <w:r w:rsidRPr="00D103AB">
        <w:rPr>
          <w:rFonts w:eastAsia="Times New Roman" w:cstheme="minorHAnsi"/>
          <w:b/>
          <w:bCs/>
          <w:sz w:val="24"/>
          <w:szCs w:val="24"/>
          <w:lang w:eastAsia="en-ZA"/>
        </w:rPr>
        <w:t xml:space="preserve"> Article: Adu &amp; Badaru (2020)</w:t>
      </w:r>
      <w:r w:rsidRPr="00D103AB">
        <w:rPr>
          <w:rFonts w:eastAsia="Times New Roman" w:cstheme="minorHAnsi"/>
          <w:sz w:val="24"/>
          <w:szCs w:val="24"/>
          <w:lang w:eastAsia="en-ZA"/>
        </w:rPr>
        <w:br/>
        <w:t>Population: South African university students.</w:t>
      </w:r>
      <w:r w:rsidRPr="00D103AB">
        <w:rPr>
          <w:rFonts w:eastAsia="Times New Roman" w:cstheme="minorHAnsi"/>
          <w:sz w:val="24"/>
          <w:szCs w:val="24"/>
          <w:lang w:eastAsia="en-ZA"/>
        </w:rPr>
        <w:br/>
        <w:t>Parameters: The amount of political activity (e.g., voting, protests, internet activism), as well as the frequency and kinds of media consumption. The impact of digital platforms on students' civic engagement is examined in the paper (Adu and Badaru, 2020).</w:t>
      </w:r>
    </w:p>
    <w:p w14:paraId="03FAC428" w14:textId="4643F4B1" w:rsidR="0014696E" w:rsidRDefault="0014696E" w:rsidP="0014696E"/>
    <w:p w14:paraId="380F130D" w14:textId="3C86CCE9" w:rsidR="0014696E" w:rsidRDefault="00D103AB" w:rsidP="00D103AB">
      <w:pPr>
        <w:pStyle w:val="Quote"/>
        <w:rPr>
          <w:b/>
          <w:bCs/>
          <w:sz w:val="30"/>
          <w:szCs w:val="30"/>
        </w:rPr>
      </w:pPr>
      <w:r w:rsidRPr="00D103AB">
        <w:rPr>
          <w:b/>
          <w:bCs/>
          <w:sz w:val="30"/>
          <w:szCs w:val="30"/>
        </w:rPr>
        <w:t>Sampling Method and Advantages</w:t>
      </w:r>
    </w:p>
    <w:p w14:paraId="154CCCE0" w14:textId="296125E5" w:rsidR="00907299" w:rsidRDefault="00907299" w:rsidP="00907299">
      <w:pPr>
        <w:spacing w:after="0" w:line="240" w:lineRule="auto"/>
        <w:rPr>
          <w:rFonts w:eastAsia="Times New Roman" w:cstheme="minorHAnsi"/>
          <w:sz w:val="24"/>
          <w:szCs w:val="24"/>
          <w:lang w:eastAsia="en-ZA"/>
        </w:rPr>
      </w:pPr>
      <w:r w:rsidRPr="00907299">
        <w:rPr>
          <w:rFonts w:eastAsia="Times New Roman" w:cstheme="minorHAnsi"/>
          <w:b/>
          <w:bCs/>
          <w:sz w:val="24"/>
          <w:szCs w:val="24"/>
          <w:lang w:eastAsia="en-ZA"/>
        </w:rPr>
        <w:t>Article 1: Ntoyanto-Tyatyanstsi &amp; Makola (2023)</w:t>
      </w:r>
      <w:r w:rsidRPr="00907299">
        <w:rPr>
          <w:rFonts w:eastAsia="Times New Roman" w:cstheme="minorHAnsi"/>
          <w:sz w:val="24"/>
          <w:szCs w:val="24"/>
          <w:lang w:eastAsia="en-ZA"/>
        </w:rPr>
        <w:br/>
        <w:t>Sampling Technique: Purposive sampling, which involves choosing people with previous postgraduate research experience.</w:t>
      </w:r>
      <w:r w:rsidRPr="00907299">
        <w:rPr>
          <w:rFonts w:eastAsia="Times New Roman" w:cstheme="minorHAnsi"/>
          <w:sz w:val="24"/>
          <w:szCs w:val="24"/>
          <w:lang w:eastAsia="en-ZA"/>
        </w:rPr>
        <w:br/>
        <w:t>Advantage: This approach ensures data richness and relevance for ethical conversations by enabling in-depth insights from people with pertinent, first-hand experience (Makola and Ntoyanto-Tyatyanstsi, 2023).</w:t>
      </w:r>
      <w:r w:rsidRPr="00907299">
        <w:rPr>
          <w:rFonts w:eastAsia="Times New Roman" w:cstheme="minorHAnsi"/>
          <w:sz w:val="24"/>
          <w:szCs w:val="24"/>
          <w:lang w:eastAsia="en-ZA"/>
        </w:rPr>
        <w:br/>
      </w:r>
      <w:r w:rsidRPr="00907299">
        <w:rPr>
          <w:rFonts w:eastAsia="Times New Roman" w:cstheme="minorHAnsi"/>
          <w:sz w:val="24"/>
          <w:szCs w:val="24"/>
          <w:lang w:eastAsia="en-ZA"/>
        </w:rPr>
        <w:br/>
      </w:r>
      <w:r w:rsidRPr="00907299">
        <w:rPr>
          <w:rFonts w:eastAsia="Times New Roman" w:cstheme="minorHAnsi"/>
          <w:b/>
          <w:bCs/>
          <w:sz w:val="24"/>
          <w:szCs w:val="24"/>
          <w:lang w:eastAsia="en-ZA"/>
        </w:rPr>
        <w:t>Article 2: Chinje &amp; Dlamini (2019)</w:t>
      </w:r>
      <w:r w:rsidRPr="00907299">
        <w:rPr>
          <w:rFonts w:eastAsia="Times New Roman" w:cstheme="minorHAnsi"/>
          <w:sz w:val="24"/>
          <w:szCs w:val="24"/>
          <w:lang w:eastAsia="en-ZA"/>
        </w:rPr>
        <w:br/>
        <w:t>sample Method: Since young consumers were targeted across factors like age or geography, stratified random sample seems likely.</w:t>
      </w:r>
      <w:r w:rsidRPr="00907299">
        <w:rPr>
          <w:rFonts w:eastAsia="Times New Roman" w:cstheme="minorHAnsi"/>
          <w:sz w:val="24"/>
          <w:szCs w:val="24"/>
          <w:lang w:eastAsia="en-ZA"/>
        </w:rPr>
        <w:br/>
        <w:t>Impact: Assures representation from a range of youth demographics, enhancing the generalizability of results about loyalty programs and how they affect customer behavior (Dlamini and Chinje, 2019).</w:t>
      </w:r>
    </w:p>
    <w:p w14:paraId="0EF78B8D" w14:textId="49B14D08" w:rsidR="00907299" w:rsidRDefault="00907299" w:rsidP="00907299">
      <w:pPr>
        <w:spacing w:after="0" w:line="240" w:lineRule="auto"/>
        <w:rPr>
          <w:rFonts w:eastAsia="Times New Roman" w:cstheme="minorHAnsi"/>
          <w:sz w:val="24"/>
          <w:szCs w:val="24"/>
          <w:lang w:eastAsia="en-ZA"/>
        </w:rPr>
      </w:pPr>
    </w:p>
    <w:p w14:paraId="0A6009E2" w14:textId="0D7C8F19" w:rsidR="00907299" w:rsidRPr="00907299" w:rsidRDefault="00907299" w:rsidP="00907299">
      <w:pPr>
        <w:spacing w:after="0" w:line="240" w:lineRule="auto"/>
        <w:rPr>
          <w:rFonts w:eastAsia="Times New Roman" w:cstheme="minorHAnsi"/>
          <w:sz w:val="24"/>
          <w:szCs w:val="24"/>
          <w:lang w:eastAsia="en-ZA"/>
        </w:rPr>
      </w:pPr>
      <w:r w:rsidRPr="00907299">
        <w:rPr>
          <w:rFonts w:eastAsia="Times New Roman" w:cstheme="minorHAnsi"/>
          <w:b/>
          <w:bCs/>
          <w:sz w:val="24"/>
          <w:szCs w:val="24"/>
          <w:lang w:eastAsia="en-ZA"/>
        </w:rPr>
        <w:t>Adu and Badaru (2020) in Article 3</w:t>
      </w:r>
      <w:r w:rsidRPr="00907299">
        <w:rPr>
          <w:rFonts w:eastAsia="Times New Roman" w:cstheme="minorHAnsi"/>
          <w:sz w:val="24"/>
          <w:szCs w:val="24"/>
          <w:lang w:eastAsia="en-ZA"/>
        </w:rPr>
        <w:br/>
        <w:t xml:space="preserve">The sampling technique </w:t>
      </w:r>
      <w:r>
        <w:rPr>
          <w:rFonts w:eastAsia="Times New Roman" w:cstheme="minorHAnsi"/>
          <w:sz w:val="24"/>
          <w:szCs w:val="24"/>
          <w:lang w:eastAsia="en-ZA"/>
        </w:rPr>
        <w:t>i</w:t>
      </w:r>
      <w:r w:rsidRPr="00907299">
        <w:rPr>
          <w:rFonts w:eastAsia="Times New Roman" w:cstheme="minorHAnsi"/>
          <w:sz w:val="24"/>
          <w:szCs w:val="24"/>
          <w:lang w:eastAsia="en-ZA"/>
        </w:rPr>
        <w:t>n university settings, convenience sampling, also known as quota sampling, was probably employed to choose students who were easily reachable at participating institutions.</w:t>
      </w:r>
      <w:r w:rsidRPr="00907299">
        <w:rPr>
          <w:rFonts w:eastAsia="Times New Roman" w:cstheme="minorHAnsi"/>
          <w:sz w:val="24"/>
          <w:szCs w:val="24"/>
          <w:lang w:eastAsia="en-ZA"/>
        </w:rPr>
        <w:br/>
        <w:t>Advantage: Cost-effective and efficient in academic settings; useful for mixed-method research where the sample consists of both survey and interview participants (Adu and Badaru, 2020).</w:t>
      </w:r>
    </w:p>
    <w:p w14:paraId="31E4F736" w14:textId="77777777" w:rsidR="00907299" w:rsidRPr="00907299" w:rsidRDefault="00907299" w:rsidP="00907299">
      <w:pPr>
        <w:spacing w:after="0" w:line="240" w:lineRule="auto"/>
        <w:rPr>
          <w:rFonts w:eastAsia="Times New Roman" w:cstheme="minorHAnsi"/>
          <w:sz w:val="24"/>
          <w:szCs w:val="24"/>
          <w:lang w:eastAsia="en-ZA"/>
        </w:rPr>
      </w:pPr>
    </w:p>
    <w:p w14:paraId="1A6FDC24" w14:textId="0326CEE1" w:rsidR="00D103AB" w:rsidRDefault="00907299" w:rsidP="00907299">
      <w:pPr>
        <w:pStyle w:val="Quote"/>
        <w:rPr>
          <w:b/>
          <w:bCs/>
          <w:sz w:val="30"/>
          <w:szCs w:val="30"/>
        </w:rPr>
      </w:pPr>
      <w:r w:rsidRPr="00907299">
        <w:rPr>
          <w:b/>
          <w:bCs/>
          <w:sz w:val="30"/>
          <w:szCs w:val="30"/>
        </w:rPr>
        <w:t>Data Collection methods</w:t>
      </w:r>
    </w:p>
    <w:p w14:paraId="5A37FCDC" w14:textId="449B4314" w:rsidR="008B52C0" w:rsidRDefault="008B52C0" w:rsidP="008B52C0">
      <w:pPr>
        <w:spacing w:after="0" w:line="240" w:lineRule="auto"/>
        <w:rPr>
          <w:rFonts w:eastAsia="Times New Roman" w:cstheme="minorHAnsi"/>
          <w:sz w:val="24"/>
          <w:szCs w:val="24"/>
          <w:lang w:eastAsia="en-ZA"/>
        </w:rPr>
      </w:pPr>
      <w:r w:rsidRPr="008B52C0">
        <w:rPr>
          <w:rFonts w:eastAsia="Times New Roman" w:cstheme="minorHAnsi"/>
          <w:b/>
          <w:bCs/>
          <w:sz w:val="24"/>
          <w:szCs w:val="24"/>
          <w:lang w:eastAsia="en-ZA"/>
        </w:rPr>
        <w:t>Article 1: Ntoyanto-Tyatyanstsi &amp; Makola (2023)</w:t>
      </w:r>
      <w:r w:rsidRPr="008B52C0">
        <w:rPr>
          <w:rFonts w:eastAsia="Times New Roman" w:cstheme="minorHAnsi"/>
          <w:sz w:val="24"/>
          <w:szCs w:val="24"/>
          <w:lang w:eastAsia="en-ZA"/>
        </w:rPr>
        <w:br/>
      </w:r>
      <w:r w:rsidRPr="008B52C0">
        <w:rPr>
          <w:rFonts w:eastAsia="Times New Roman" w:cstheme="minorHAnsi"/>
          <w:b/>
          <w:bCs/>
          <w:sz w:val="24"/>
          <w:szCs w:val="24"/>
          <w:lang w:eastAsia="en-ZA"/>
        </w:rPr>
        <w:t>Semi-structured interviews</w:t>
      </w:r>
      <w:r w:rsidRPr="008B52C0">
        <w:rPr>
          <w:rFonts w:eastAsia="Times New Roman" w:cstheme="minorHAnsi"/>
          <w:sz w:val="24"/>
          <w:szCs w:val="24"/>
          <w:lang w:eastAsia="en-ZA"/>
        </w:rPr>
        <w:t xml:space="preserve"> as a tool</w:t>
      </w:r>
      <w:r w:rsidRPr="008B52C0">
        <w:rPr>
          <w:rFonts w:eastAsia="Times New Roman" w:cstheme="minorHAnsi"/>
          <w:sz w:val="24"/>
          <w:szCs w:val="24"/>
          <w:lang w:eastAsia="en-ZA"/>
        </w:rPr>
        <w:br/>
        <w:t>Participants were able to elaborate on their individual experiences with research ethics using these. Rich qualitative data in line with the phenomenological method is made possible by this tool's adaptability and probing capabilities (Makola and Ntoyanto-Tyatyanstsi, 2023).</w:t>
      </w:r>
      <w:r w:rsidRPr="008B52C0">
        <w:rPr>
          <w:rFonts w:eastAsia="Times New Roman" w:cstheme="minorHAnsi"/>
          <w:sz w:val="24"/>
          <w:szCs w:val="24"/>
          <w:lang w:eastAsia="en-ZA"/>
        </w:rPr>
        <w:br/>
      </w:r>
      <w:r w:rsidRPr="008B52C0">
        <w:rPr>
          <w:rFonts w:eastAsia="Times New Roman" w:cstheme="minorHAnsi"/>
          <w:sz w:val="24"/>
          <w:szCs w:val="24"/>
          <w:lang w:eastAsia="en-ZA"/>
        </w:rPr>
        <w:br/>
      </w:r>
      <w:r w:rsidRPr="008B52C0">
        <w:rPr>
          <w:rFonts w:eastAsia="Times New Roman" w:cstheme="minorHAnsi"/>
          <w:b/>
          <w:bCs/>
          <w:sz w:val="24"/>
          <w:szCs w:val="24"/>
          <w:lang w:eastAsia="en-ZA"/>
        </w:rPr>
        <w:t>Article 2: Chinje &amp; Dlamini (2019)</w:t>
      </w:r>
      <w:r w:rsidRPr="008B52C0">
        <w:rPr>
          <w:rFonts w:eastAsia="Times New Roman" w:cstheme="minorHAnsi"/>
          <w:sz w:val="24"/>
          <w:szCs w:val="24"/>
          <w:lang w:eastAsia="en-ZA"/>
        </w:rPr>
        <w:br/>
        <w:t xml:space="preserve">Instrument: </w:t>
      </w:r>
      <w:r w:rsidRPr="008B52C0">
        <w:rPr>
          <w:rFonts w:eastAsia="Times New Roman" w:cstheme="minorHAnsi"/>
          <w:b/>
          <w:bCs/>
          <w:sz w:val="24"/>
          <w:szCs w:val="24"/>
          <w:lang w:eastAsia="en-ZA"/>
        </w:rPr>
        <w:t>Formal surveys</w:t>
      </w:r>
      <w:r w:rsidRPr="008B52C0">
        <w:rPr>
          <w:rFonts w:eastAsia="Times New Roman" w:cstheme="minorHAnsi"/>
          <w:sz w:val="24"/>
          <w:szCs w:val="24"/>
          <w:lang w:eastAsia="en-ZA"/>
        </w:rPr>
        <w:br/>
        <w:t>given to young customers in order to gather information on their exposure to loyalty programs and purchasing patterns. Consumer trends can be easily quantified and statistically analy</w:t>
      </w:r>
      <w:r>
        <w:rPr>
          <w:rFonts w:eastAsia="Times New Roman" w:cstheme="minorHAnsi"/>
          <w:sz w:val="24"/>
          <w:szCs w:val="24"/>
          <w:lang w:eastAsia="en-ZA"/>
        </w:rPr>
        <w:t>s</w:t>
      </w:r>
      <w:r w:rsidRPr="008B52C0">
        <w:rPr>
          <w:rFonts w:eastAsia="Times New Roman" w:cstheme="minorHAnsi"/>
          <w:sz w:val="24"/>
          <w:szCs w:val="24"/>
          <w:lang w:eastAsia="en-ZA"/>
        </w:rPr>
        <w:t>ed using this method (Dlamini and Chinje, 2019).</w:t>
      </w:r>
      <w:r w:rsidRPr="008B52C0">
        <w:rPr>
          <w:rFonts w:eastAsia="Times New Roman" w:cstheme="minorHAnsi"/>
          <w:sz w:val="24"/>
          <w:szCs w:val="24"/>
          <w:lang w:eastAsia="en-ZA"/>
        </w:rPr>
        <w:br/>
      </w:r>
      <w:r w:rsidRPr="008B52C0">
        <w:rPr>
          <w:rFonts w:eastAsia="Times New Roman" w:cstheme="minorHAnsi"/>
          <w:sz w:val="24"/>
          <w:szCs w:val="24"/>
          <w:lang w:eastAsia="en-ZA"/>
        </w:rPr>
        <w:br/>
      </w:r>
      <w:r w:rsidRPr="008B52C0">
        <w:rPr>
          <w:rFonts w:eastAsia="Times New Roman" w:cstheme="minorHAnsi"/>
          <w:b/>
          <w:bCs/>
          <w:sz w:val="24"/>
          <w:szCs w:val="24"/>
          <w:lang w:eastAsia="en-ZA"/>
        </w:rPr>
        <w:t>Adu and Badaru (2020) in Article 3</w:t>
      </w:r>
      <w:r w:rsidRPr="008B52C0">
        <w:rPr>
          <w:rFonts w:eastAsia="Times New Roman" w:cstheme="minorHAnsi"/>
          <w:sz w:val="24"/>
          <w:szCs w:val="24"/>
          <w:lang w:eastAsia="en-ZA"/>
        </w:rPr>
        <w:br/>
        <w:t xml:space="preserve">Instruments: </w:t>
      </w:r>
      <w:r w:rsidRPr="008B52C0">
        <w:rPr>
          <w:rFonts w:eastAsia="Times New Roman" w:cstheme="minorHAnsi"/>
          <w:b/>
          <w:bCs/>
          <w:sz w:val="24"/>
          <w:szCs w:val="24"/>
          <w:lang w:eastAsia="en-ZA"/>
        </w:rPr>
        <w:t>questionnaires and interviews</w:t>
      </w:r>
      <w:r w:rsidRPr="008B52C0">
        <w:rPr>
          <w:rFonts w:eastAsia="Times New Roman" w:cstheme="minorHAnsi"/>
          <w:sz w:val="24"/>
          <w:szCs w:val="24"/>
          <w:lang w:eastAsia="en-ZA"/>
        </w:rPr>
        <w:br/>
        <w:t>The writers employed interviews to learn about students' political behaviors and motivations, and surveys to measure the frequency of media consumption. This dual-tool approach aids in data triangulation and supports the mixed-methods design (Adu and Badaru, 2020).</w:t>
      </w:r>
    </w:p>
    <w:p w14:paraId="13691F2D" w14:textId="42DDAAB5" w:rsidR="008B52C0" w:rsidRDefault="008B52C0" w:rsidP="008B52C0">
      <w:pPr>
        <w:spacing w:after="0" w:line="240" w:lineRule="auto"/>
        <w:rPr>
          <w:rFonts w:eastAsia="Times New Roman" w:cstheme="minorHAnsi"/>
          <w:sz w:val="24"/>
          <w:szCs w:val="24"/>
          <w:lang w:eastAsia="en-ZA"/>
        </w:rPr>
      </w:pPr>
    </w:p>
    <w:p w14:paraId="4CEAC5C8" w14:textId="3305AB36" w:rsidR="008B52C0" w:rsidRDefault="008B52C0" w:rsidP="008B52C0">
      <w:pPr>
        <w:pStyle w:val="Quote"/>
        <w:rPr>
          <w:b/>
          <w:bCs/>
          <w:sz w:val="30"/>
          <w:szCs w:val="30"/>
        </w:rPr>
      </w:pPr>
      <w:r w:rsidRPr="008B52C0">
        <w:rPr>
          <w:b/>
          <w:bCs/>
          <w:sz w:val="30"/>
          <w:szCs w:val="30"/>
        </w:rPr>
        <w:t>Key Findings from Each Article</w:t>
      </w:r>
    </w:p>
    <w:p w14:paraId="6DC3012C" w14:textId="7DFA1592" w:rsidR="008B52C0" w:rsidRDefault="008B52C0" w:rsidP="008B52C0">
      <w:pPr>
        <w:spacing w:after="240" w:line="240" w:lineRule="auto"/>
        <w:rPr>
          <w:rFonts w:eastAsia="Times New Roman" w:cstheme="minorHAnsi"/>
          <w:sz w:val="24"/>
          <w:szCs w:val="24"/>
          <w:lang w:eastAsia="en-ZA"/>
        </w:rPr>
      </w:pPr>
      <w:r w:rsidRPr="008B52C0">
        <w:rPr>
          <w:rFonts w:eastAsia="Times New Roman" w:cstheme="minorHAnsi"/>
          <w:b/>
          <w:bCs/>
          <w:sz w:val="24"/>
          <w:szCs w:val="24"/>
          <w:lang w:eastAsia="en-ZA"/>
        </w:rPr>
        <w:t>Article 1: Ntoyanto-Tyatyanstsi &amp; Makola (2023)</w:t>
      </w:r>
      <w:r w:rsidRPr="008B52C0">
        <w:rPr>
          <w:rFonts w:eastAsia="Times New Roman" w:cstheme="minorHAnsi"/>
          <w:sz w:val="24"/>
          <w:szCs w:val="24"/>
          <w:lang w:eastAsia="en-ZA"/>
        </w:rPr>
        <w:br/>
        <w:t>Important Finding: When it comes to research ethics, a lot of postgraduate students feel confused, under pressure, or institutionally silent. According to the study, students were at risk during the proposal and fieldwork phases due to a lack of official ethics training and uneven supervisory support (Makola and Ntoyanto-Tyatyanstsi, 2023). These results highlight the necessity of explicit policy and postgraduate ethics instruction.</w:t>
      </w:r>
      <w:r w:rsidRPr="008B52C0">
        <w:rPr>
          <w:rFonts w:eastAsia="Times New Roman" w:cstheme="minorHAnsi"/>
          <w:sz w:val="24"/>
          <w:szCs w:val="24"/>
          <w:lang w:eastAsia="en-ZA"/>
        </w:rPr>
        <w:br/>
      </w:r>
      <w:r w:rsidRPr="008B52C0">
        <w:rPr>
          <w:rFonts w:eastAsia="Times New Roman" w:cstheme="minorHAnsi"/>
          <w:sz w:val="24"/>
          <w:szCs w:val="24"/>
          <w:lang w:eastAsia="en-ZA"/>
        </w:rPr>
        <w:br/>
      </w:r>
      <w:r w:rsidRPr="008B52C0">
        <w:rPr>
          <w:rFonts w:eastAsia="Times New Roman" w:cstheme="minorHAnsi"/>
          <w:b/>
          <w:bCs/>
          <w:sz w:val="24"/>
          <w:szCs w:val="24"/>
          <w:lang w:eastAsia="en-ZA"/>
        </w:rPr>
        <w:t>Article 2: Chinje &amp; Dlamini (2019)</w:t>
      </w:r>
      <w:r w:rsidRPr="008B52C0">
        <w:rPr>
          <w:rFonts w:eastAsia="Times New Roman" w:cstheme="minorHAnsi"/>
          <w:b/>
          <w:bCs/>
          <w:sz w:val="24"/>
          <w:szCs w:val="24"/>
          <w:lang w:eastAsia="en-ZA"/>
        </w:rPr>
        <w:br/>
      </w:r>
      <w:r w:rsidRPr="008B52C0">
        <w:rPr>
          <w:rFonts w:eastAsia="Times New Roman" w:cstheme="minorHAnsi"/>
          <w:sz w:val="24"/>
          <w:szCs w:val="24"/>
          <w:lang w:eastAsia="en-ZA"/>
        </w:rPr>
        <w:t>Important Finding: Youth in South Africa who participate in loyalty programs are statistically significantly more likely to make repeat purchases. Customers were more likely to stick with brands if they thought the benefits were worthwhile. According to the study, loyalty behavior is driven by emotional ties and incentive-based trust (Dlamini and Chinje, 2019).</w:t>
      </w:r>
    </w:p>
    <w:p w14:paraId="0C1AEAF9" w14:textId="2419060B" w:rsidR="003A76C0" w:rsidRPr="003A76C0" w:rsidRDefault="003A76C0" w:rsidP="003A76C0">
      <w:pPr>
        <w:spacing w:after="240" w:line="240" w:lineRule="auto"/>
        <w:rPr>
          <w:rFonts w:eastAsia="Times New Roman" w:cstheme="minorHAnsi"/>
          <w:b/>
          <w:bCs/>
          <w:sz w:val="24"/>
          <w:szCs w:val="24"/>
          <w:lang w:eastAsia="en-ZA"/>
        </w:rPr>
      </w:pPr>
      <w:r w:rsidRPr="003A76C0">
        <w:rPr>
          <w:rFonts w:eastAsia="Times New Roman" w:cstheme="minorHAnsi"/>
          <w:b/>
          <w:bCs/>
          <w:sz w:val="24"/>
          <w:szCs w:val="24"/>
          <w:lang w:eastAsia="en-ZA"/>
        </w:rPr>
        <w:t>3</w:t>
      </w:r>
      <w:r w:rsidRPr="003A76C0">
        <w:rPr>
          <w:rFonts w:eastAsia="Times New Roman" w:cstheme="minorHAnsi"/>
          <w:b/>
          <w:bCs/>
          <w:sz w:val="24"/>
          <w:szCs w:val="24"/>
          <w:vertAlign w:val="superscript"/>
          <w:lang w:eastAsia="en-ZA"/>
        </w:rPr>
        <w:t>rd</w:t>
      </w:r>
      <w:r w:rsidRPr="003A76C0">
        <w:rPr>
          <w:rFonts w:eastAsia="Times New Roman" w:cstheme="minorHAnsi"/>
          <w:b/>
          <w:bCs/>
          <w:sz w:val="24"/>
          <w:szCs w:val="24"/>
          <w:lang w:eastAsia="en-ZA"/>
        </w:rPr>
        <w:t xml:space="preserve"> Article</w:t>
      </w:r>
      <w:r w:rsidRPr="003A76C0">
        <w:rPr>
          <w:rFonts w:ascii="Times New Roman" w:eastAsia="Times New Roman" w:hAnsi="Times New Roman" w:cs="Times New Roman"/>
          <w:sz w:val="24"/>
          <w:szCs w:val="24"/>
          <w:lang w:eastAsia="en-ZA"/>
        </w:rPr>
        <w:br/>
      </w:r>
      <w:r w:rsidRPr="003A76C0">
        <w:rPr>
          <w:rFonts w:eastAsia="Times New Roman" w:cstheme="minorHAnsi"/>
          <w:sz w:val="24"/>
          <w:szCs w:val="24"/>
          <w:lang w:eastAsia="en-ZA"/>
        </w:rPr>
        <w:t>Key Finding: While media use is common among college students, political participation varies. Some people passively consume content, while others use platforms for civic engagement and activity. Additionally, the researchers discovered a connection between increasing media consumption and heightened political participation, such as voting, protests, and conversations (Adu and Badaru, 2020).</w:t>
      </w:r>
    </w:p>
    <w:p w14:paraId="7B86001E" w14:textId="6901E06B" w:rsidR="008B52C0" w:rsidRDefault="003A76C0" w:rsidP="003A76C0">
      <w:pPr>
        <w:pStyle w:val="Quote"/>
        <w:rPr>
          <w:b/>
          <w:bCs/>
          <w:sz w:val="30"/>
          <w:szCs w:val="30"/>
        </w:rPr>
      </w:pPr>
      <w:r w:rsidRPr="003A76C0">
        <w:rPr>
          <w:b/>
          <w:bCs/>
          <w:sz w:val="30"/>
          <w:szCs w:val="30"/>
        </w:rPr>
        <w:t>Honesty, Reliability, and Validity in Research</w:t>
      </w:r>
    </w:p>
    <w:p w14:paraId="080B55D2" w14:textId="42100FBA" w:rsidR="003A76C0" w:rsidRPr="003A76C0" w:rsidRDefault="003A76C0" w:rsidP="003A76C0">
      <w:pPr>
        <w:pStyle w:val="NoSpacing"/>
        <w:rPr>
          <w:b/>
          <w:bCs/>
          <w:sz w:val="26"/>
          <w:szCs w:val="26"/>
        </w:rPr>
      </w:pPr>
      <w:r w:rsidRPr="003A76C0">
        <w:rPr>
          <w:b/>
          <w:bCs/>
          <w:sz w:val="26"/>
          <w:szCs w:val="26"/>
        </w:rPr>
        <w:t>Honesty</w:t>
      </w:r>
    </w:p>
    <w:p w14:paraId="6F7CA4C5" w14:textId="77777777" w:rsidR="003A76C0" w:rsidRDefault="003A76C0" w:rsidP="003A76C0">
      <w:pPr>
        <w:spacing w:after="0" w:line="240" w:lineRule="auto"/>
        <w:rPr>
          <w:rFonts w:eastAsia="Times New Roman" w:cstheme="minorHAnsi"/>
          <w:sz w:val="24"/>
          <w:szCs w:val="24"/>
          <w:lang w:eastAsia="en-ZA"/>
        </w:rPr>
      </w:pPr>
      <w:r w:rsidRPr="003A76C0">
        <w:rPr>
          <w:rFonts w:eastAsia="Times New Roman" w:cstheme="minorHAnsi"/>
          <w:sz w:val="24"/>
          <w:szCs w:val="24"/>
          <w:lang w:eastAsia="en-ZA"/>
        </w:rPr>
        <w:t>Even if results deviate from early assumptions, researchers must get informed consent and present findings honestly to maintain integrity. For example, in Article 1, confidentiality of participants and a clear explanation of the ethical objectives of the interviews guaranteed honesty (Makola and Ntoyanto-Tyatyanstsi, 2023).</w:t>
      </w:r>
      <w:r w:rsidRPr="003A76C0">
        <w:rPr>
          <w:rFonts w:eastAsia="Times New Roman" w:cstheme="minorHAnsi"/>
          <w:sz w:val="24"/>
          <w:szCs w:val="24"/>
          <w:lang w:eastAsia="en-ZA"/>
        </w:rPr>
        <w:br/>
      </w:r>
    </w:p>
    <w:p w14:paraId="50A30ADC" w14:textId="77777777" w:rsidR="003A76C0" w:rsidRDefault="003A76C0" w:rsidP="003A76C0">
      <w:pPr>
        <w:spacing w:after="0" w:line="240" w:lineRule="auto"/>
        <w:rPr>
          <w:rFonts w:eastAsia="Times New Roman" w:cstheme="minorHAnsi"/>
          <w:sz w:val="24"/>
          <w:szCs w:val="24"/>
          <w:lang w:eastAsia="en-ZA"/>
        </w:rPr>
      </w:pPr>
      <w:r w:rsidRPr="003A76C0">
        <w:rPr>
          <w:rFonts w:eastAsia="Times New Roman" w:cstheme="minorHAnsi"/>
          <w:b/>
          <w:bCs/>
          <w:sz w:val="26"/>
          <w:szCs w:val="26"/>
          <w:lang w:eastAsia="en-ZA"/>
        </w:rPr>
        <w:t>Reliability</w:t>
      </w:r>
      <w:r w:rsidRPr="003A76C0">
        <w:rPr>
          <w:rFonts w:eastAsia="Times New Roman" w:cstheme="minorHAnsi"/>
          <w:sz w:val="24"/>
          <w:szCs w:val="24"/>
          <w:lang w:eastAsia="en-ZA"/>
        </w:rPr>
        <w:br/>
        <w:t>Methods must be consistent in order to be considered reliable. Internal reliability was increased in Article 2 by Dlamini and Chinje (2019) using structured surveys with the same format for every participant. Because their poll is standardized, repeating it would probably produce results that are comparable.</w:t>
      </w:r>
      <w:r w:rsidRPr="003A76C0">
        <w:rPr>
          <w:rFonts w:eastAsia="Times New Roman" w:cstheme="minorHAnsi"/>
          <w:sz w:val="24"/>
          <w:szCs w:val="24"/>
          <w:lang w:eastAsia="en-ZA"/>
        </w:rPr>
        <w:br/>
      </w:r>
    </w:p>
    <w:p w14:paraId="39C9867D" w14:textId="6D74851A" w:rsidR="003A76C0" w:rsidRPr="003A76C0" w:rsidRDefault="003A76C0" w:rsidP="003A76C0">
      <w:pPr>
        <w:spacing w:after="0" w:line="240" w:lineRule="auto"/>
        <w:rPr>
          <w:rFonts w:eastAsia="Times New Roman" w:cstheme="minorHAnsi"/>
          <w:sz w:val="24"/>
          <w:szCs w:val="24"/>
          <w:lang w:eastAsia="en-ZA"/>
        </w:rPr>
      </w:pPr>
      <w:r w:rsidRPr="003A76C0">
        <w:rPr>
          <w:rFonts w:eastAsia="Times New Roman" w:cstheme="minorHAnsi"/>
          <w:b/>
          <w:bCs/>
          <w:sz w:val="26"/>
          <w:szCs w:val="26"/>
          <w:lang w:eastAsia="en-ZA"/>
        </w:rPr>
        <w:t>Validity</w:t>
      </w:r>
      <w:r w:rsidRPr="003A76C0">
        <w:rPr>
          <w:rFonts w:eastAsia="Times New Roman" w:cstheme="minorHAnsi"/>
          <w:sz w:val="24"/>
          <w:szCs w:val="24"/>
          <w:lang w:eastAsia="en-ZA"/>
        </w:rPr>
        <w:br/>
        <w:t>The degree to which the research measures what it purports to assess is known as validity. By capturing both behavio</w:t>
      </w:r>
      <w:r>
        <w:rPr>
          <w:rFonts w:eastAsia="Times New Roman" w:cstheme="minorHAnsi"/>
          <w:sz w:val="24"/>
          <w:szCs w:val="24"/>
          <w:lang w:eastAsia="en-ZA"/>
        </w:rPr>
        <w:t>u</w:t>
      </w:r>
      <w:r w:rsidRPr="003A76C0">
        <w:rPr>
          <w:rFonts w:eastAsia="Times New Roman" w:cstheme="minorHAnsi"/>
          <w:sz w:val="24"/>
          <w:szCs w:val="24"/>
          <w:lang w:eastAsia="en-ZA"/>
        </w:rPr>
        <w:t xml:space="preserve">ral trends and underlying causes, the combination of surveys and interviews in Article 3 increased validity (Adu and Badaru, 2020). </w:t>
      </w:r>
    </w:p>
    <w:p w14:paraId="6CED7FE1" w14:textId="351CBCD1" w:rsidR="003A76C0" w:rsidRPr="00F96351" w:rsidRDefault="00F96351" w:rsidP="00F96351">
      <w:pPr>
        <w:pStyle w:val="Quote"/>
        <w:rPr>
          <w:sz w:val="24"/>
          <w:szCs w:val="24"/>
        </w:rPr>
      </w:pPr>
      <w:r w:rsidRPr="00F96351">
        <w:rPr>
          <w:sz w:val="24"/>
          <w:szCs w:val="24"/>
        </w:rPr>
        <w:t xml:space="preserve">This method, known as </w:t>
      </w:r>
      <w:r w:rsidRPr="00F96351">
        <w:rPr>
          <w:rStyle w:val="Strong"/>
          <w:sz w:val="24"/>
          <w:szCs w:val="24"/>
        </w:rPr>
        <w:t>triangulation</w:t>
      </w:r>
      <w:r w:rsidRPr="00F96351">
        <w:rPr>
          <w:sz w:val="24"/>
          <w:szCs w:val="24"/>
        </w:rPr>
        <w:t>, helps validate results across different data sources (Saunders et al., 2019).</w:t>
      </w:r>
    </w:p>
    <w:p w14:paraId="02DB4963" w14:textId="4B394D91" w:rsidR="00907299" w:rsidRDefault="00304E93" w:rsidP="003A76C0">
      <w:pPr>
        <w:pStyle w:val="Quote"/>
        <w:rPr>
          <w:b/>
          <w:bCs/>
          <w:sz w:val="26"/>
          <w:szCs w:val="26"/>
        </w:rPr>
      </w:pPr>
      <w:r w:rsidRPr="00304E93">
        <w:rPr>
          <w:b/>
          <w:bCs/>
          <w:sz w:val="26"/>
          <w:szCs w:val="26"/>
        </w:rPr>
        <w:t>Ethical Issues Before, During, and After Research</w:t>
      </w:r>
    </w:p>
    <w:p w14:paraId="70619AA0" w14:textId="4FB468E2" w:rsidR="00304E93" w:rsidRPr="00304E93" w:rsidRDefault="00304E93" w:rsidP="00304E93">
      <w:pPr>
        <w:rPr>
          <w:b/>
          <w:bCs/>
          <w:sz w:val="26"/>
          <w:szCs w:val="26"/>
        </w:rPr>
      </w:pPr>
      <w:r w:rsidRPr="00304E93">
        <w:rPr>
          <w:b/>
          <w:bCs/>
          <w:sz w:val="26"/>
          <w:szCs w:val="26"/>
        </w:rPr>
        <w:t xml:space="preserve">Before Research </w:t>
      </w:r>
    </w:p>
    <w:p w14:paraId="4B30AAA6" w14:textId="77777777" w:rsidR="00304E93" w:rsidRDefault="00304E93" w:rsidP="00304E93">
      <w:pPr>
        <w:spacing w:after="240" w:line="240" w:lineRule="auto"/>
        <w:rPr>
          <w:rFonts w:eastAsia="Times New Roman" w:cstheme="minorHAnsi"/>
          <w:sz w:val="24"/>
          <w:szCs w:val="24"/>
          <w:lang w:eastAsia="en-ZA"/>
        </w:rPr>
      </w:pPr>
      <w:r w:rsidRPr="00304E93">
        <w:rPr>
          <w:rFonts w:eastAsia="Times New Roman" w:cstheme="minorHAnsi"/>
          <w:sz w:val="24"/>
          <w:szCs w:val="24"/>
          <w:lang w:eastAsia="en-ZA"/>
        </w:rPr>
        <w:t>Obtaining ethical clearance is essential for researchers, particularly when working with human subjects. To address this, for instance, Article 1 required institutional ethical approval before to conducting student interviews (Makola and Ntoyanto-Tyatyanstsi, 2023).</w:t>
      </w:r>
      <w:r w:rsidRPr="00304E93">
        <w:rPr>
          <w:rFonts w:eastAsia="Times New Roman" w:cstheme="minorHAnsi"/>
          <w:sz w:val="24"/>
          <w:szCs w:val="24"/>
          <w:lang w:eastAsia="en-ZA"/>
        </w:rPr>
        <w:br/>
      </w:r>
    </w:p>
    <w:p w14:paraId="4E2D3D6D" w14:textId="77777777" w:rsidR="00F96351" w:rsidRDefault="00304E93" w:rsidP="00304E93">
      <w:pPr>
        <w:spacing w:after="240" w:line="240" w:lineRule="auto"/>
        <w:rPr>
          <w:rFonts w:eastAsia="Times New Roman" w:cstheme="minorHAnsi"/>
          <w:sz w:val="24"/>
          <w:szCs w:val="24"/>
          <w:lang w:eastAsia="en-ZA"/>
        </w:rPr>
      </w:pPr>
      <w:r w:rsidRPr="00F96351">
        <w:rPr>
          <w:rFonts w:eastAsia="Times New Roman" w:cstheme="minorHAnsi"/>
          <w:b/>
          <w:bCs/>
          <w:sz w:val="26"/>
          <w:szCs w:val="26"/>
          <w:lang w:eastAsia="en-ZA"/>
        </w:rPr>
        <w:t>During Research</w:t>
      </w:r>
      <w:r w:rsidRPr="00304E93">
        <w:rPr>
          <w:rFonts w:eastAsia="Times New Roman" w:cstheme="minorHAnsi"/>
          <w:sz w:val="24"/>
          <w:szCs w:val="24"/>
          <w:lang w:eastAsia="en-ZA"/>
        </w:rPr>
        <w:br/>
        <w:t>Important considerations include voluntary involvement, anonymity, and informed consent. In order to ensure ethical participation, participants were fully informed about the study's goal and their right to withdraw at any moment (Dlamini and Chinje, 2019).</w:t>
      </w:r>
      <w:r w:rsidRPr="00304E93">
        <w:rPr>
          <w:rFonts w:eastAsia="Times New Roman" w:cstheme="minorHAnsi"/>
          <w:sz w:val="24"/>
          <w:szCs w:val="24"/>
          <w:lang w:eastAsia="en-ZA"/>
        </w:rPr>
        <w:br/>
      </w:r>
    </w:p>
    <w:p w14:paraId="275DB222" w14:textId="1D4F5899" w:rsidR="00304E93" w:rsidRPr="00304E93" w:rsidRDefault="00F96351" w:rsidP="00304E93">
      <w:pPr>
        <w:spacing w:after="240" w:line="240" w:lineRule="auto"/>
        <w:rPr>
          <w:rFonts w:ascii="Times New Roman" w:eastAsia="Times New Roman" w:hAnsi="Times New Roman" w:cs="Times New Roman"/>
          <w:sz w:val="24"/>
          <w:szCs w:val="24"/>
          <w:lang w:eastAsia="en-ZA"/>
        </w:rPr>
      </w:pPr>
      <w:r w:rsidRPr="00F96351">
        <w:rPr>
          <w:rFonts w:eastAsia="Times New Roman" w:cstheme="minorHAnsi"/>
          <w:b/>
          <w:bCs/>
          <w:sz w:val="26"/>
          <w:szCs w:val="26"/>
          <w:lang w:eastAsia="en-ZA"/>
        </w:rPr>
        <w:t>After Research</w:t>
      </w:r>
      <w:r w:rsidR="00304E93" w:rsidRPr="00304E93">
        <w:rPr>
          <w:rFonts w:eastAsia="Times New Roman" w:cstheme="minorHAnsi"/>
          <w:sz w:val="24"/>
          <w:szCs w:val="24"/>
          <w:lang w:eastAsia="en-ZA"/>
        </w:rPr>
        <w:br/>
        <w:t>Researchers must prevent data manipulation and keep data securely. By de-identifying data prior to analysis and properly disseminating findings through academic channels, for instance, Article 3 upheld ethical reporting (Adu and Badaru, 2020). Transparency in results publication also acknowledges participants' contributions</w:t>
      </w:r>
      <w:r w:rsidR="00304E93" w:rsidRPr="00304E93">
        <w:rPr>
          <w:rFonts w:ascii="Times New Roman" w:eastAsia="Times New Roman" w:hAnsi="Times New Roman" w:cs="Times New Roman"/>
          <w:sz w:val="24"/>
          <w:szCs w:val="24"/>
          <w:lang w:eastAsia="en-ZA"/>
        </w:rPr>
        <w:t>.</w:t>
      </w:r>
    </w:p>
    <w:p w14:paraId="5BA9C151" w14:textId="77777777" w:rsidR="00304E93" w:rsidRPr="00304E93" w:rsidRDefault="00304E93" w:rsidP="00304E93">
      <w:pPr>
        <w:pStyle w:val="Quote"/>
        <w:rPr>
          <w:sz w:val="24"/>
          <w:szCs w:val="24"/>
        </w:rPr>
      </w:pPr>
      <w:r w:rsidRPr="00304E93">
        <w:rPr>
          <w:sz w:val="24"/>
          <w:szCs w:val="24"/>
        </w:rPr>
        <w:t>According to Resnik (2020), maintaining integrity at all stages protects participants and the credibility of the research process.</w:t>
      </w:r>
    </w:p>
    <w:p w14:paraId="4D8835F9" w14:textId="5791F81B" w:rsidR="00304E93" w:rsidRDefault="00F96351" w:rsidP="00F96351">
      <w:pPr>
        <w:pStyle w:val="Quote"/>
        <w:rPr>
          <w:b/>
          <w:bCs/>
          <w:sz w:val="30"/>
          <w:szCs w:val="30"/>
        </w:rPr>
      </w:pPr>
      <w:r w:rsidRPr="00F96351">
        <w:rPr>
          <w:b/>
          <w:bCs/>
          <w:sz w:val="30"/>
          <w:szCs w:val="30"/>
        </w:rPr>
        <w:t>Proposed Areas for Further Research</w:t>
      </w:r>
    </w:p>
    <w:p w14:paraId="73F0DFA1" w14:textId="011D8008" w:rsidR="00F96351" w:rsidRPr="00F96351" w:rsidRDefault="00F96351" w:rsidP="00F96351">
      <w:pPr>
        <w:spacing w:after="0" w:line="240" w:lineRule="auto"/>
        <w:rPr>
          <w:rFonts w:eastAsia="Times New Roman" w:cstheme="minorHAnsi"/>
          <w:sz w:val="24"/>
          <w:szCs w:val="24"/>
          <w:lang w:eastAsia="en-ZA"/>
        </w:rPr>
      </w:pPr>
      <w:r w:rsidRPr="00F96351">
        <w:rPr>
          <w:rFonts w:eastAsia="Times New Roman" w:cstheme="minorHAnsi"/>
          <w:b/>
          <w:bCs/>
          <w:sz w:val="24"/>
          <w:szCs w:val="24"/>
          <w:lang w:eastAsia="en-ZA"/>
        </w:rPr>
        <w:t>Article 1: Ntoyanto-Tyatyanstsi &amp; Makola (2023)</w:t>
      </w:r>
      <w:r w:rsidRPr="00F96351">
        <w:rPr>
          <w:rFonts w:eastAsia="Times New Roman" w:cstheme="minorHAnsi"/>
          <w:sz w:val="24"/>
          <w:szCs w:val="24"/>
          <w:lang w:eastAsia="en-ZA"/>
        </w:rPr>
        <w:br/>
        <w:t>Although this study is limited to a small qualitative sample, it provides insightful information about the ethical dilemmas faced by postgraduate students. Future studies could use a mixed-methods approach to examine the institutional efficacy of ethics training programs at several universities. Researchers could also look into the institutionalization of ethics guidelines in postgraduate programs and supervisor responsibility (Saunders et al., 2019).</w:t>
      </w:r>
      <w:r w:rsidRPr="00F96351">
        <w:rPr>
          <w:rFonts w:eastAsia="Times New Roman" w:cstheme="minorHAnsi"/>
          <w:sz w:val="24"/>
          <w:szCs w:val="24"/>
          <w:lang w:eastAsia="en-ZA"/>
        </w:rPr>
        <w:br/>
      </w:r>
      <w:r w:rsidRPr="00F96351">
        <w:rPr>
          <w:rFonts w:eastAsia="Times New Roman" w:cstheme="minorHAnsi"/>
          <w:sz w:val="24"/>
          <w:szCs w:val="24"/>
          <w:lang w:eastAsia="en-ZA"/>
        </w:rPr>
        <w:br/>
      </w:r>
      <w:r w:rsidRPr="00F96351">
        <w:rPr>
          <w:rFonts w:eastAsia="Times New Roman" w:cstheme="minorHAnsi"/>
          <w:b/>
          <w:bCs/>
          <w:sz w:val="24"/>
          <w:szCs w:val="24"/>
          <w:lang w:eastAsia="en-ZA"/>
        </w:rPr>
        <w:t>Article 2: Chinje &amp; Dlamini (2019)</w:t>
      </w:r>
      <w:r w:rsidRPr="00F96351">
        <w:rPr>
          <w:rFonts w:eastAsia="Times New Roman" w:cstheme="minorHAnsi"/>
          <w:sz w:val="24"/>
          <w:szCs w:val="24"/>
          <w:lang w:eastAsia="en-ZA"/>
        </w:rPr>
        <w:br/>
        <w:t>The article links loyalty programs to teenage consumer behavior, but it doesn't evaluate digital loyalty mechanisms or long-term retention effects. Future research should look into how rewards systems based on mobile apps impact young people's purchasing decisions in urban versus rural areas. Additionally, studies comparing loyalty programs across other demographics may provide more comprehensive insights into their commercial efficacy (Rahim et al., 2021).</w:t>
      </w:r>
    </w:p>
    <w:p w14:paraId="7AC0287C" w14:textId="77777777" w:rsidR="00F96351" w:rsidRPr="00F96351" w:rsidRDefault="00F96351" w:rsidP="00F96351">
      <w:pPr>
        <w:spacing w:after="0" w:line="240" w:lineRule="auto"/>
        <w:rPr>
          <w:rFonts w:eastAsia="Times New Roman" w:cstheme="minorHAnsi"/>
          <w:sz w:val="24"/>
          <w:szCs w:val="24"/>
          <w:lang w:eastAsia="en-ZA"/>
        </w:rPr>
      </w:pPr>
    </w:p>
    <w:p w14:paraId="38DE06C5" w14:textId="77777777" w:rsidR="00F96351" w:rsidRPr="0013620C" w:rsidRDefault="00F96351" w:rsidP="00F96351">
      <w:pPr>
        <w:spacing w:after="0" w:line="240" w:lineRule="auto"/>
        <w:rPr>
          <w:rFonts w:eastAsia="Times New Roman" w:cstheme="minorHAnsi"/>
          <w:b/>
          <w:bCs/>
          <w:sz w:val="24"/>
          <w:szCs w:val="24"/>
          <w:lang w:eastAsia="en-ZA"/>
        </w:rPr>
      </w:pPr>
      <w:r w:rsidRPr="0013620C">
        <w:rPr>
          <w:rFonts w:eastAsia="Times New Roman" w:cstheme="minorHAnsi"/>
          <w:b/>
          <w:bCs/>
          <w:sz w:val="24"/>
          <w:szCs w:val="24"/>
          <w:lang w:eastAsia="en-ZA"/>
        </w:rPr>
        <w:t>Adu &amp; Badaru, Article 3 (2020)</w:t>
      </w:r>
    </w:p>
    <w:p w14:paraId="38B698CC" w14:textId="577EED4C" w:rsidR="00F96351" w:rsidRPr="00F96351" w:rsidRDefault="00F96351" w:rsidP="00F96351">
      <w:pPr>
        <w:spacing w:after="0" w:line="240" w:lineRule="auto"/>
        <w:rPr>
          <w:rFonts w:eastAsia="Times New Roman" w:cstheme="minorHAnsi"/>
          <w:sz w:val="24"/>
          <w:szCs w:val="24"/>
          <w:lang w:eastAsia="en-ZA"/>
        </w:rPr>
      </w:pPr>
      <w:r w:rsidRPr="00F96351">
        <w:rPr>
          <w:rFonts w:eastAsia="Times New Roman" w:cstheme="minorHAnsi"/>
          <w:sz w:val="24"/>
          <w:szCs w:val="24"/>
          <w:lang w:eastAsia="en-ZA"/>
        </w:rPr>
        <w:t>The essay examines media consumption and political engagement</w:t>
      </w:r>
      <w:r w:rsidR="0013620C">
        <w:rPr>
          <w:rFonts w:eastAsia="Times New Roman" w:cstheme="minorHAnsi"/>
          <w:sz w:val="24"/>
          <w:szCs w:val="24"/>
          <w:lang w:eastAsia="en-ZA"/>
        </w:rPr>
        <w:t>.</w:t>
      </w:r>
      <w:r w:rsidRPr="00F96351">
        <w:rPr>
          <w:rFonts w:eastAsia="Times New Roman" w:cstheme="minorHAnsi"/>
          <w:sz w:val="24"/>
          <w:szCs w:val="24"/>
          <w:lang w:eastAsia="en-ZA"/>
        </w:rPr>
        <w:t xml:space="preserve"> </w:t>
      </w:r>
      <w:r w:rsidR="0013620C">
        <w:rPr>
          <w:rFonts w:eastAsia="Times New Roman" w:cstheme="minorHAnsi"/>
          <w:sz w:val="24"/>
          <w:szCs w:val="24"/>
          <w:lang w:eastAsia="en-ZA"/>
        </w:rPr>
        <w:t>H</w:t>
      </w:r>
      <w:r w:rsidR="0013620C" w:rsidRPr="00F96351">
        <w:rPr>
          <w:rFonts w:eastAsia="Times New Roman" w:cstheme="minorHAnsi"/>
          <w:sz w:val="24"/>
          <w:szCs w:val="24"/>
          <w:lang w:eastAsia="en-ZA"/>
        </w:rPr>
        <w:t>owever,</w:t>
      </w:r>
      <w:r w:rsidRPr="00F96351">
        <w:rPr>
          <w:rFonts w:eastAsia="Times New Roman" w:cstheme="minorHAnsi"/>
          <w:sz w:val="24"/>
          <w:szCs w:val="24"/>
          <w:lang w:eastAsia="en-ZA"/>
        </w:rPr>
        <w:t xml:space="preserve"> it skips over how social media algorithms and false information affect public opinion. Future studies could examine the influence of media literacy instruction on young adults' political choices. Additionally, longitudinal research could assess whether online activism eventually results in real political action (Kulkov et al., 2024).</w:t>
      </w:r>
    </w:p>
    <w:p w14:paraId="47CD045E" w14:textId="50108CCB" w:rsidR="00F96351" w:rsidRPr="00F96351" w:rsidRDefault="00F96351" w:rsidP="00F24EF3">
      <w:pPr>
        <w:pStyle w:val="Quote"/>
        <w:rPr>
          <w:lang w:eastAsia="en-ZA"/>
        </w:rPr>
      </w:pPr>
    </w:p>
    <w:p w14:paraId="15E80CF0" w14:textId="2D2625F4" w:rsidR="00F96351" w:rsidRDefault="00C83666" w:rsidP="00C83666">
      <w:pPr>
        <w:pStyle w:val="Heading2"/>
        <w:rPr>
          <w:b/>
          <w:bCs/>
          <w:color w:val="auto"/>
          <w:sz w:val="30"/>
          <w:szCs w:val="30"/>
        </w:rPr>
      </w:pPr>
      <w:r w:rsidRPr="00C83666">
        <w:rPr>
          <w:b/>
          <w:bCs/>
          <w:color w:val="auto"/>
          <w:sz w:val="30"/>
          <w:szCs w:val="30"/>
        </w:rPr>
        <w:t>Question 2</w:t>
      </w:r>
    </w:p>
    <w:p w14:paraId="2B8ABEEF" w14:textId="68317BE4" w:rsidR="00D418D7" w:rsidRDefault="00D418D7" w:rsidP="00D418D7">
      <w:pPr>
        <w:pStyle w:val="Quote"/>
        <w:rPr>
          <w:b/>
          <w:bCs/>
          <w:sz w:val="32"/>
          <w:szCs w:val="32"/>
        </w:rPr>
      </w:pPr>
      <w:r w:rsidRPr="00D418D7">
        <w:rPr>
          <w:b/>
          <w:bCs/>
          <w:sz w:val="32"/>
          <w:szCs w:val="32"/>
        </w:rPr>
        <w:t>Introduction</w:t>
      </w:r>
    </w:p>
    <w:p w14:paraId="4D6AD921" w14:textId="6B31AEF4" w:rsidR="00D418D7" w:rsidRPr="00D418D7" w:rsidRDefault="00D418D7" w:rsidP="00D418D7">
      <w:pPr>
        <w:pStyle w:val="Quote"/>
        <w:rPr>
          <w:sz w:val="26"/>
          <w:szCs w:val="26"/>
        </w:rPr>
      </w:pPr>
      <w:r>
        <w:rPr>
          <w:sz w:val="26"/>
          <w:szCs w:val="26"/>
        </w:rPr>
        <w:t>This q</w:t>
      </w:r>
      <w:r w:rsidRPr="00D418D7">
        <w:rPr>
          <w:sz w:val="26"/>
          <w:szCs w:val="26"/>
        </w:rPr>
        <w:t>uestion moves from criticism to the design of the study. The student creates completely organized research designs for each of the three new article themes that are based on digital systems and informal business in townships. A thorough explanation of the study topic, paradigm shifts, questions, hypotheses, target demographics, data collection instruments, sample plans, and analytic methods are all included in this. In accordance with the socioeconomic realities of South Africa, each design is created to exhibit methodological coherence, contextual relevance, and academic rigor.</w:t>
      </w:r>
    </w:p>
    <w:p w14:paraId="30025CDC" w14:textId="08C5E4EA" w:rsidR="00C83666" w:rsidRDefault="002772E0" w:rsidP="00C83666">
      <w:pPr>
        <w:pStyle w:val="Quote"/>
        <w:rPr>
          <w:rStyle w:val="Strong"/>
          <w:sz w:val="30"/>
          <w:szCs w:val="30"/>
        </w:rPr>
      </w:pPr>
      <w:r w:rsidRPr="002772E0">
        <w:rPr>
          <w:rStyle w:val="Strong"/>
          <w:sz w:val="30"/>
          <w:szCs w:val="30"/>
        </w:rPr>
        <w:t>Proposed Article Topics</w:t>
      </w:r>
    </w:p>
    <w:p w14:paraId="1A38625B" w14:textId="09FE7F65" w:rsidR="002772E0" w:rsidRDefault="002772E0" w:rsidP="002772E0">
      <w:pPr>
        <w:spacing w:after="240" w:line="240" w:lineRule="auto"/>
        <w:rPr>
          <w:rFonts w:eastAsia="Times New Roman" w:cstheme="minorHAnsi"/>
          <w:sz w:val="24"/>
          <w:szCs w:val="24"/>
          <w:lang w:eastAsia="en-ZA"/>
        </w:rPr>
      </w:pPr>
      <w:r w:rsidRPr="002772E0">
        <w:rPr>
          <w:rFonts w:eastAsia="Times New Roman" w:cstheme="minorHAnsi"/>
          <w:b/>
          <w:bCs/>
          <w:sz w:val="24"/>
          <w:szCs w:val="24"/>
          <w:lang w:eastAsia="en-ZA"/>
        </w:rPr>
        <w:t>Article 1:</w:t>
      </w:r>
      <w:r w:rsidRPr="002772E0">
        <w:rPr>
          <w:rFonts w:eastAsia="Times New Roman" w:cstheme="minorHAnsi"/>
          <w:sz w:val="24"/>
          <w:szCs w:val="24"/>
          <w:lang w:eastAsia="en-ZA"/>
        </w:rPr>
        <w:t xml:space="preserve"> Township Informal Entrepreneurs' Digital Financial Literacy</w:t>
      </w:r>
      <w:r w:rsidRPr="002772E0">
        <w:rPr>
          <w:rFonts w:eastAsia="Times New Roman" w:cstheme="minorHAnsi"/>
          <w:sz w:val="24"/>
          <w:szCs w:val="24"/>
          <w:lang w:eastAsia="en-ZA"/>
        </w:rPr>
        <w:br/>
      </w:r>
      <w:r w:rsidRPr="002772E0">
        <w:rPr>
          <w:rFonts w:eastAsia="Times New Roman" w:cstheme="minorHAnsi"/>
          <w:b/>
          <w:bCs/>
          <w:sz w:val="24"/>
          <w:szCs w:val="24"/>
          <w:lang w:eastAsia="en-ZA"/>
        </w:rPr>
        <w:t>Focus</w:t>
      </w:r>
      <w:r w:rsidRPr="002772E0">
        <w:rPr>
          <w:rFonts w:eastAsia="Times New Roman" w:cstheme="minorHAnsi"/>
          <w:sz w:val="24"/>
          <w:szCs w:val="24"/>
          <w:lang w:eastAsia="en-ZA"/>
        </w:rPr>
        <w:t>: How small, unofficial business owners' financial practices are affected by digital wallets and mobile banking (such as the Capitec App and FNB eWallet).</w:t>
      </w:r>
      <w:r w:rsidRPr="002772E0">
        <w:rPr>
          <w:rFonts w:eastAsia="Times New Roman" w:cstheme="minorHAnsi"/>
          <w:sz w:val="24"/>
          <w:szCs w:val="24"/>
          <w:lang w:eastAsia="en-ZA"/>
        </w:rPr>
        <w:br/>
        <w:t xml:space="preserve">The original paradigm was </w:t>
      </w:r>
      <w:r w:rsidRPr="002772E0">
        <w:rPr>
          <w:rFonts w:eastAsia="Times New Roman" w:cstheme="minorHAnsi"/>
          <w:b/>
          <w:bCs/>
          <w:sz w:val="24"/>
          <w:szCs w:val="24"/>
          <w:lang w:eastAsia="en-ZA"/>
        </w:rPr>
        <w:t>interpretivism</w:t>
      </w:r>
      <w:r w:rsidRPr="002772E0">
        <w:rPr>
          <w:rFonts w:eastAsia="Times New Roman" w:cstheme="minorHAnsi"/>
          <w:sz w:val="24"/>
          <w:szCs w:val="24"/>
          <w:lang w:eastAsia="en-ZA"/>
        </w:rPr>
        <w:t>, which examined the real-world experiences of entrepreneurs using digital banking.</w:t>
      </w:r>
      <w:r w:rsidRPr="002772E0">
        <w:rPr>
          <w:rFonts w:eastAsia="Times New Roman" w:cstheme="minorHAnsi"/>
          <w:sz w:val="24"/>
          <w:szCs w:val="24"/>
          <w:lang w:eastAsia="en-ZA"/>
        </w:rPr>
        <w:br/>
        <w:t xml:space="preserve">An alternative paradigm is </w:t>
      </w:r>
      <w:r w:rsidRPr="002772E0">
        <w:rPr>
          <w:rFonts w:eastAsia="Times New Roman" w:cstheme="minorHAnsi"/>
          <w:b/>
          <w:bCs/>
          <w:sz w:val="24"/>
          <w:szCs w:val="24"/>
          <w:lang w:eastAsia="en-ZA"/>
        </w:rPr>
        <w:t>positivism</w:t>
      </w:r>
      <w:r w:rsidRPr="002772E0">
        <w:rPr>
          <w:rFonts w:eastAsia="Times New Roman" w:cstheme="minorHAnsi"/>
          <w:sz w:val="24"/>
          <w:szCs w:val="24"/>
          <w:lang w:eastAsia="en-ZA"/>
        </w:rPr>
        <w:t>, which uses statistics to measure impact.</w:t>
      </w:r>
      <w:r w:rsidRPr="002772E0">
        <w:rPr>
          <w:rFonts w:eastAsia="Times New Roman" w:cstheme="minorHAnsi"/>
          <w:sz w:val="24"/>
          <w:szCs w:val="24"/>
          <w:lang w:eastAsia="en-ZA"/>
        </w:rPr>
        <w:br/>
      </w:r>
      <w:r w:rsidRPr="002772E0">
        <w:rPr>
          <w:rFonts w:eastAsia="Times New Roman" w:cstheme="minorHAnsi"/>
          <w:sz w:val="24"/>
          <w:szCs w:val="24"/>
          <w:lang w:eastAsia="en-ZA"/>
        </w:rPr>
        <w:br/>
      </w:r>
      <w:r w:rsidRPr="002772E0">
        <w:rPr>
          <w:rFonts w:eastAsia="Times New Roman" w:cstheme="minorHAnsi"/>
          <w:b/>
          <w:bCs/>
          <w:sz w:val="24"/>
          <w:szCs w:val="24"/>
          <w:lang w:eastAsia="en-ZA"/>
        </w:rPr>
        <w:t>Article 2:</w:t>
      </w:r>
      <w:r w:rsidRPr="002772E0">
        <w:rPr>
          <w:rFonts w:eastAsia="Times New Roman" w:cstheme="minorHAnsi"/>
          <w:sz w:val="24"/>
          <w:szCs w:val="24"/>
          <w:lang w:eastAsia="en-ZA"/>
        </w:rPr>
        <w:t xml:space="preserve"> WhatsApp's Function in Casual Business Communications</w:t>
      </w:r>
      <w:r w:rsidRPr="002772E0">
        <w:rPr>
          <w:rFonts w:eastAsia="Times New Roman" w:cstheme="minorHAnsi"/>
          <w:sz w:val="24"/>
          <w:szCs w:val="24"/>
          <w:lang w:eastAsia="en-ZA"/>
        </w:rPr>
        <w:br/>
      </w:r>
      <w:r w:rsidRPr="002772E0">
        <w:rPr>
          <w:rFonts w:eastAsia="Times New Roman" w:cstheme="minorHAnsi"/>
          <w:b/>
          <w:bCs/>
          <w:sz w:val="24"/>
          <w:szCs w:val="24"/>
          <w:lang w:eastAsia="en-ZA"/>
        </w:rPr>
        <w:t>Focus</w:t>
      </w:r>
      <w:r w:rsidRPr="002772E0">
        <w:rPr>
          <w:rFonts w:eastAsia="Times New Roman" w:cstheme="minorHAnsi"/>
          <w:sz w:val="24"/>
          <w:szCs w:val="24"/>
          <w:lang w:eastAsia="en-ZA"/>
        </w:rPr>
        <w:t>: Using WhatsApp to handle customer service, marketing, and operations for small company owners in South African informal settlements.</w:t>
      </w:r>
      <w:r w:rsidRPr="002772E0">
        <w:rPr>
          <w:rFonts w:eastAsia="Times New Roman" w:cstheme="minorHAnsi"/>
          <w:sz w:val="24"/>
          <w:szCs w:val="24"/>
          <w:lang w:eastAsia="en-ZA"/>
        </w:rPr>
        <w:br/>
        <w:t>Pragmatism (</w:t>
      </w:r>
      <w:r w:rsidRPr="002772E0">
        <w:rPr>
          <w:rFonts w:eastAsia="Times New Roman" w:cstheme="minorHAnsi"/>
          <w:b/>
          <w:bCs/>
          <w:sz w:val="24"/>
          <w:szCs w:val="24"/>
          <w:lang w:eastAsia="en-ZA"/>
        </w:rPr>
        <w:t>mixed-method</w:t>
      </w:r>
      <w:r w:rsidRPr="002772E0">
        <w:rPr>
          <w:rFonts w:eastAsia="Times New Roman" w:cstheme="minorHAnsi"/>
          <w:sz w:val="24"/>
          <w:szCs w:val="24"/>
          <w:lang w:eastAsia="en-ZA"/>
        </w:rPr>
        <w:t>: text analysis + interviews) was the original paradigm.</w:t>
      </w:r>
      <w:r w:rsidRPr="002772E0">
        <w:rPr>
          <w:rFonts w:eastAsia="Times New Roman" w:cstheme="minorHAnsi"/>
          <w:sz w:val="24"/>
          <w:szCs w:val="24"/>
          <w:lang w:eastAsia="en-ZA"/>
        </w:rPr>
        <w:br/>
        <w:t xml:space="preserve">An alternative paradigm is </w:t>
      </w:r>
      <w:r w:rsidRPr="002772E0">
        <w:rPr>
          <w:rFonts w:eastAsia="Times New Roman" w:cstheme="minorHAnsi"/>
          <w:b/>
          <w:bCs/>
          <w:sz w:val="24"/>
          <w:szCs w:val="24"/>
          <w:lang w:eastAsia="en-ZA"/>
        </w:rPr>
        <w:t>critical realism</w:t>
      </w:r>
      <w:r w:rsidRPr="002772E0">
        <w:rPr>
          <w:rFonts w:eastAsia="Times New Roman" w:cstheme="minorHAnsi"/>
          <w:sz w:val="24"/>
          <w:szCs w:val="24"/>
          <w:lang w:eastAsia="en-ZA"/>
        </w:rPr>
        <w:t>, which examines systems such as affordability, educational attainment, and internet access.</w:t>
      </w:r>
    </w:p>
    <w:p w14:paraId="317F32AC" w14:textId="77AFE58E" w:rsidR="002772E0" w:rsidRPr="002772E0" w:rsidRDefault="002772E0" w:rsidP="002772E0">
      <w:pPr>
        <w:spacing w:after="0" w:line="240" w:lineRule="auto"/>
        <w:rPr>
          <w:rFonts w:eastAsia="Times New Roman" w:cstheme="minorHAnsi"/>
          <w:sz w:val="24"/>
          <w:szCs w:val="24"/>
          <w:lang w:eastAsia="en-ZA"/>
        </w:rPr>
      </w:pPr>
      <w:r w:rsidRPr="002772E0">
        <w:rPr>
          <w:rFonts w:eastAsia="Times New Roman" w:cstheme="minorHAnsi"/>
          <w:b/>
          <w:bCs/>
          <w:sz w:val="24"/>
          <w:szCs w:val="24"/>
          <w:lang w:eastAsia="en-ZA"/>
        </w:rPr>
        <w:t>Article 3:</w:t>
      </w:r>
      <w:r w:rsidRPr="002772E0">
        <w:rPr>
          <w:rFonts w:eastAsia="Times New Roman" w:cstheme="minorHAnsi"/>
          <w:sz w:val="24"/>
          <w:szCs w:val="24"/>
          <w:lang w:eastAsia="en-ZA"/>
        </w:rPr>
        <w:t xml:space="preserve"> Township Youth's Use of E-Commerce Sites to Generate Income</w:t>
      </w:r>
      <w:r w:rsidRPr="002772E0">
        <w:rPr>
          <w:rFonts w:eastAsia="Times New Roman" w:cstheme="minorHAnsi"/>
          <w:sz w:val="24"/>
          <w:szCs w:val="24"/>
          <w:lang w:eastAsia="en-ZA"/>
        </w:rPr>
        <w:br/>
      </w:r>
      <w:r w:rsidRPr="002772E0">
        <w:rPr>
          <w:rFonts w:eastAsia="Times New Roman" w:cstheme="minorHAnsi"/>
          <w:b/>
          <w:bCs/>
          <w:sz w:val="24"/>
          <w:szCs w:val="24"/>
          <w:lang w:eastAsia="en-ZA"/>
        </w:rPr>
        <w:t>Focus:</w:t>
      </w:r>
      <w:r w:rsidRPr="002772E0">
        <w:rPr>
          <w:rFonts w:eastAsia="Times New Roman" w:cstheme="minorHAnsi"/>
          <w:sz w:val="24"/>
          <w:szCs w:val="24"/>
          <w:lang w:eastAsia="en-ZA"/>
        </w:rPr>
        <w:t xml:space="preserve"> How young people without jobs make and manage money using websites like Takealot, Facebook Marketplace, and TikTok Shop.</w:t>
      </w:r>
      <w:r w:rsidRPr="002772E0">
        <w:rPr>
          <w:rFonts w:eastAsia="Times New Roman" w:cstheme="minorHAnsi"/>
          <w:sz w:val="24"/>
          <w:szCs w:val="24"/>
          <w:lang w:eastAsia="en-ZA"/>
        </w:rPr>
        <w:br/>
      </w:r>
      <w:r w:rsidRPr="002772E0">
        <w:rPr>
          <w:rFonts w:eastAsia="Times New Roman" w:cstheme="minorHAnsi"/>
          <w:b/>
          <w:bCs/>
          <w:sz w:val="24"/>
          <w:szCs w:val="24"/>
          <w:lang w:eastAsia="en-ZA"/>
        </w:rPr>
        <w:t>Positivism</w:t>
      </w:r>
      <w:r w:rsidRPr="002772E0">
        <w:rPr>
          <w:rFonts w:eastAsia="Times New Roman" w:cstheme="minorHAnsi"/>
          <w:sz w:val="24"/>
          <w:szCs w:val="24"/>
          <w:lang w:eastAsia="en-ZA"/>
        </w:rPr>
        <w:t xml:space="preserve"> (data-driven platform engagement) was the original paradigm.</w:t>
      </w:r>
      <w:r w:rsidRPr="002772E0">
        <w:rPr>
          <w:rFonts w:eastAsia="Times New Roman" w:cstheme="minorHAnsi"/>
          <w:sz w:val="24"/>
          <w:szCs w:val="24"/>
          <w:lang w:eastAsia="en-ZA"/>
        </w:rPr>
        <w:br/>
        <w:t xml:space="preserve">An alternative paradigm is </w:t>
      </w:r>
      <w:r w:rsidRPr="002772E0">
        <w:rPr>
          <w:rFonts w:eastAsia="Times New Roman" w:cstheme="minorHAnsi"/>
          <w:b/>
          <w:bCs/>
          <w:sz w:val="24"/>
          <w:szCs w:val="24"/>
          <w:lang w:eastAsia="en-ZA"/>
        </w:rPr>
        <w:t>interpretivism</w:t>
      </w:r>
      <w:r w:rsidRPr="002772E0">
        <w:rPr>
          <w:rFonts w:eastAsia="Times New Roman" w:cstheme="minorHAnsi"/>
          <w:sz w:val="24"/>
          <w:szCs w:val="24"/>
          <w:lang w:eastAsia="en-ZA"/>
        </w:rPr>
        <w:t>, which focuses on comprehending individual goals, risk perceptions, and motivations.</w:t>
      </w:r>
    </w:p>
    <w:p w14:paraId="036A0B3B" w14:textId="77777777" w:rsidR="002772E0" w:rsidRPr="002772E0" w:rsidRDefault="002772E0" w:rsidP="002772E0">
      <w:pPr>
        <w:spacing w:after="240" w:line="240" w:lineRule="auto"/>
        <w:rPr>
          <w:rFonts w:eastAsia="Times New Roman" w:cstheme="minorHAnsi"/>
          <w:sz w:val="24"/>
          <w:szCs w:val="24"/>
          <w:lang w:eastAsia="en-ZA"/>
        </w:rPr>
      </w:pPr>
    </w:p>
    <w:p w14:paraId="2AEBAD2A" w14:textId="2C2385C7" w:rsidR="002772E0" w:rsidRPr="0033671F" w:rsidRDefault="0033671F" w:rsidP="0033671F">
      <w:pPr>
        <w:pStyle w:val="Quote"/>
        <w:rPr>
          <w:b/>
          <w:bCs/>
          <w:sz w:val="30"/>
          <w:szCs w:val="30"/>
        </w:rPr>
      </w:pPr>
      <w:r w:rsidRPr="0033671F">
        <w:rPr>
          <w:b/>
          <w:bCs/>
          <w:sz w:val="30"/>
          <w:szCs w:val="30"/>
        </w:rPr>
        <w:t>Research Problem</w:t>
      </w:r>
    </w:p>
    <w:p w14:paraId="5F69E34F" w14:textId="7BBBF3D1" w:rsidR="00EB0F13" w:rsidRDefault="00EB0F13" w:rsidP="00EB0F13">
      <w:pPr>
        <w:spacing w:after="0" w:line="240" w:lineRule="auto"/>
        <w:rPr>
          <w:rFonts w:eastAsia="Times New Roman" w:cstheme="minorHAnsi"/>
          <w:sz w:val="24"/>
          <w:szCs w:val="24"/>
          <w:lang w:eastAsia="en-ZA"/>
        </w:rPr>
      </w:pPr>
      <w:r w:rsidRPr="00EB0F13">
        <w:rPr>
          <w:rFonts w:eastAsia="Times New Roman" w:cstheme="minorHAnsi"/>
          <w:sz w:val="24"/>
          <w:szCs w:val="24"/>
          <w:lang w:eastAsia="en-ZA"/>
        </w:rPr>
        <w:t>The quantifiable effect of digital financial literacy on the performance of informal enterprises is still not well understood, despite the fact that mobile financial platforms such as the Capitec App, FNB eWallet, and Nedbank's MobiMoney are quickly spreading throughout South African townships. In neighbo</w:t>
      </w:r>
      <w:r w:rsidRPr="00EB0F13">
        <w:rPr>
          <w:rFonts w:eastAsia="Times New Roman" w:cstheme="minorHAnsi"/>
          <w:sz w:val="24"/>
          <w:szCs w:val="24"/>
          <w:lang w:eastAsia="en-ZA"/>
        </w:rPr>
        <w:t>u</w:t>
      </w:r>
      <w:r w:rsidRPr="00EB0F13">
        <w:rPr>
          <w:rFonts w:eastAsia="Times New Roman" w:cstheme="minorHAnsi"/>
          <w:sz w:val="24"/>
          <w:szCs w:val="24"/>
          <w:lang w:eastAsia="en-ZA"/>
        </w:rPr>
        <w:t>rhoods like Soweto, Alexandra, and Khayelitsha, a growing number of unofficial business owners depend on these apps for budgeting, savings, and payments. There is, however, a dearth of scientific data regarding the direct correlation between digital financial abilities and improved money management, higher savings, or company expansion.</w:t>
      </w:r>
      <w:r w:rsidRPr="00EB0F13">
        <w:rPr>
          <w:rFonts w:eastAsia="Times New Roman" w:cstheme="minorHAnsi"/>
          <w:sz w:val="24"/>
          <w:szCs w:val="24"/>
          <w:lang w:eastAsia="en-ZA"/>
        </w:rPr>
        <w:br/>
      </w:r>
      <w:r w:rsidRPr="00EB0F13">
        <w:rPr>
          <w:rFonts w:eastAsia="Times New Roman" w:cstheme="minorHAnsi"/>
          <w:sz w:val="24"/>
          <w:szCs w:val="24"/>
          <w:lang w:eastAsia="en-ZA"/>
        </w:rPr>
        <w:br/>
        <w:t>The work that is currently available frequently ignores the ways that unique knowledge and usage patterns of mobile finance technologies impact the sustainability of township enterprises in favo</w:t>
      </w:r>
      <w:r w:rsidRPr="00EB0F13">
        <w:rPr>
          <w:rFonts w:eastAsia="Times New Roman" w:cstheme="minorHAnsi"/>
          <w:sz w:val="24"/>
          <w:szCs w:val="24"/>
          <w:lang w:eastAsia="en-ZA"/>
        </w:rPr>
        <w:t>u</w:t>
      </w:r>
      <w:r w:rsidRPr="00EB0F13">
        <w:rPr>
          <w:rFonts w:eastAsia="Times New Roman" w:cstheme="minorHAnsi"/>
          <w:sz w:val="24"/>
          <w:szCs w:val="24"/>
          <w:lang w:eastAsia="en-ZA"/>
        </w:rPr>
        <w:t>r of focusing on financial inclusion in general terms. It is incorrect to assume that access equates to efficient utilization, especially in underserved regions with disparate levels of internet access and education.</w:t>
      </w:r>
    </w:p>
    <w:p w14:paraId="748581AC" w14:textId="77777777" w:rsidR="00EB0F13" w:rsidRPr="00EB0F13" w:rsidRDefault="00EB0F13" w:rsidP="00EB0F13">
      <w:pPr>
        <w:spacing w:after="0" w:line="240" w:lineRule="auto"/>
        <w:rPr>
          <w:rFonts w:eastAsia="Times New Roman" w:cstheme="minorHAnsi"/>
          <w:sz w:val="24"/>
          <w:szCs w:val="24"/>
          <w:lang w:eastAsia="en-ZA"/>
        </w:rPr>
      </w:pPr>
    </w:p>
    <w:p w14:paraId="1D2823B9" w14:textId="40CCA14A" w:rsidR="0033671F" w:rsidRDefault="00EB0F13" w:rsidP="0033671F">
      <w:pPr>
        <w:rPr>
          <w:sz w:val="24"/>
          <w:szCs w:val="24"/>
        </w:rPr>
      </w:pPr>
      <w:r w:rsidRPr="00EB0F13">
        <w:rPr>
          <w:sz w:val="24"/>
          <w:szCs w:val="24"/>
        </w:rPr>
        <w:t>This study uses the positivist paradigm to find quantifiable correlations between digital financial literacy (an independent variable) and financial outcomes (dependent variables) such as tracking expenses, expanding a business, and stable monthly income. It will be possible to determine whether digital financial education has a substantial impact on township entrepreneurs' economic empowerment through a systematic survey and statistical analysis.</w:t>
      </w:r>
    </w:p>
    <w:p w14:paraId="05546CD4" w14:textId="34552E8C" w:rsidR="00EB0F13" w:rsidRDefault="00EB0F13" w:rsidP="00EB0F13">
      <w:pPr>
        <w:pStyle w:val="Quote"/>
        <w:rPr>
          <w:b/>
          <w:bCs/>
          <w:sz w:val="30"/>
          <w:szCs w:val="30"/>
        </w:rPr>
      </w:pPr>
      <w:r w:rsidRPr="00EB0F13">
        <w:rPr>
          <w:b/>
          <w:bCs/>
          <w:sz w:val="30"/>
          <w:szCs w:val="30"/>
        </w:rPr>
        <w:t>Research Questions</w:t>
      </w:r>
    </w:p>
    <w:p w14:paraId="46756871" w14:textId="77777777" w:rsidR="00EB0F13" w:rsidRPr="00013E37" w:rsidRDefault="00EB0F13" w:rsidP="00EB0F13">
      <w:pPr>
        <w:pStyle w:val="ListParagraph"/>
        <w:numPr>
          <w:ilvl w:val="0"/>
          <w:numId w:val="2"/>
        </w:numPr>
        <w:spacing w:after="240" w:line="240" w:lineRule="auto"/>
        <w:rPr>
          <w:rFonts w:eastAsia="Times New Roman" w:cstheme="minorHAnsi"/>
          <w:sz w:val="24"/>
          <w:szCs w:val="24"/>
          <w:lang w:eastAsia="en-ZA"/>
        </w:rPr>
      </w:pPr>
      <w:r w:rsidRPr="00013E37">
        <w:rPr>
          <w:rFonts w:eastAsia="Times New Roman" w:cstheme="minorHAnsi"/>
          <w:sz w:val="24"/>
          <w:szCs w:val="24"/>
          <w:lang w:eastAsia="en-ZA"/>
        </w:rPr>
        <w:t>How much does the income stability of unofficial business owners in South African townships depend on their level of digital financial literacy?</w:t>
      </w:r>
    </w:p>
    <w:p w14:paraId="53BD4385" w14:textId="77777777" w:rsidR="00EB0F13" w:rsidRPr="00013E37" w:rsidRDefault="00EB0F13" w:rsidP="00EB0F13">
      <w:pPr>
        <w:pStyle w:val="ListParagraph"/>
        <w:numPr>
          <w:ilvl w:val="0"/>
          <w:numId w:val="2"/>
        </w:numPr>
        <w:spacing w:after="240" w:line="240" w:lineRule="auto"/>
        <w:rPr>
          <w:rFonts w:eastAsia="Times New Roman" w:cstheme="minorHAnsi"/>
          <w:sz w:val="24"/>
          <w:szCs w:val="24"/>
          <w:lang w:eastAsia="en-ZA"/>
        </w:rPr>
      </w:pPr>
      <w:r w:rsidRPr="00013E37">
        <w:rPr>
          <w:rFonts w:eastAsia="Times New Roman" w:cstheme="minorHAnsi"/>
          <w:sz w:val="24"/>
          <w:szCs w:val="24"/>
          <w:lang w:eastAsia="en-ZA"/>
        </w:rPr>
        <w:t>Are changes in these entrepreneurs' savings or budgeting habits statistically correlated with their usage of mobile financial products (such as the FNB eWallet or the Capitec App)?</w:t>
      </w:r>
    </w:p>
    <w:p w14:paraId="2F33F1AB" w14:textId="77777777" w:rsidR="00EB0F13" w:rsidRPr="00013E37" w:rsidRDefault="00EB0F13" w:rsidP="00EB0F13">
      <w:pPr>
        <w:pStyle w:val="ListParagraph"/>
        <w:numPr>
          <w:ilvl w:val="0"/>
          <w:numId w:val="2"/>
        </w:numPr>
        <w:spacing w:after="240" w:line="240" w:lineRule="auto"/>
        <w:rPr>
          <w:rFonts w:eastAsia="Times New Roman" w:cstheme="minorHAnsi"/>
          <w:sz w:val="24"/>
          <w:szCs w:val="24"/>
          <w:lang w:eastAsia="en-ZA"/>
        </w:rPr>
      </w:pPr>
      <w:r w:rsidRPr="00013E37">
        <w:rPr>
          <w:rFonts w:eastAsia="Times New Roman" w:cstheme="minorHAnsi"/>
          <w:sz w:val="24"/>
          <w:szCs w:val="24"/>
          <w:lang w:eastAsia="en-ZA"/>
        </w:rPr>
        <w:t>How do young people in South Africa perceive the worth and intent of loyalty programs?</w:t>
      </w:r>
    </w:p>
    <w:p w14:paraId="59A94BEF" w14:textId="77777777" w:rsidR="00EB0F13" w:rsidRPr="00013E37" w:rsidRDefault="00EB0F13" w:rsidP="00EB0F13">
      <w:pPr>
        <w:pStyle w:val="ListParagraph"/>
        <w:numPr>
          <w:ilvl w:val="0"/>
          <w:numId w:val="2"/>
        </w:numPr>
        <w:spacing w:after="240" w:line="240" w:lineRule="auto"/>
        <w:rPr>
          <w:rFonts w:eastAsia="Times New Roman" w:cstheme="minorHAnsi"/>
          <w:sz w:val="24"/>
          <w:szCs w:val="24"/>
          <w:lang w:eastAsia="en-ZA"/>
        </w:rPr>
      </w:pPr>
      <w:r w:rsidRPr="00013E37">
        <w:rPr>
          <w:rFonts w:eastAsia="Times New Roman" w:cstheme="minorHAnsi"/>
          <w:sz w:val="24"/>
          <w:szCs w:val="24"/>
          <w:lang w:eastAsia="en-ZA"/>
        </w:rPr>
        <w:t>In comparison to those with less digital expertise, do informal business owners who possess greater degrees of digital financial literacy report more steady business growth (e.g., reinvestment, stock expansion)?</w:t>
      </w:r>
    </w:p>
    <w:p w14:paraId="4854D4A8" w14:textId="77777777" w:rsidR="00EB0F13" w:rsidRPr="00013E37" w:rsidRDefault="00EB0F13" w:rsidP="00EB0F13">
      <w:pPr>
        <w:pStyle w:val="ListParagraph"/>
        <w:numPr>
          <w:ilvl w:val="0"/>
          <w:numId w:val="2"/>
        </w:numPr>
        <w:spacing w:after="240" w:line="240" w:lineRule="auto"/>
        <w:rPr>
          <w:rFonts w:eastAsia="Times New Roman" w:cstheme="minorHAnsi"/>
          <w:sz w:val="24"/>
          <w:szCs w:val="24"/>
          <w:lang w:eastAsia="en-ZA"/>
        </w:rPr>
      </w:pPr>
      <w:r w:rsidRPr="00013E37">
        <w:rPr>
          <w:rFonts w:eastAsia="Times New Roman" w:cstheme="minorHAnsi"/>
          <w:sz w:val="24"/>
          <w:szCs w:val="24"/>
          <w:lang w:eastAsia="en-ZA"/>
        </w:rPr>
        <w:t>What structural or systemic elements influence college students' digital political engagement?</w:t>
      </w:r>
    </w:p>
    <w:p w14:paraId="73B5481A" w14:textId="6436ABAC" w:rsidR="00EB0F13" w:rsidRDefault="00EB0F13" w:rsidP="00EB0F13">
      <w:pPr>
        <w:pStyle w:val="ListParagraph"/>
        <w:numPr>
          <w:ilvl w:val="0"/>
          <w:numId w:val="2"/>
        </w:numPr>
        <w:spacing w:after="240" w:line="240" w:lineRule="auto"/>
        <w:rPr>
          <w:rFonts w:ascii="Times New Roman" w:eastAsia="Times New Roman" w:hAnsi="Times New Roman" w:cs="Times New Roman"/>
          <w:sz w:val="24"/>
          <w:szCs w:val="24"/>
          <w:lang w:eastAsia="en-ZA"/>
        </w:rPr>
      </w:pPr>
      <w:r w:rsidRPr="00013E37">
        <w:rPr>
          <w:rFonts w:eastAsia="Times New Roman" w:cstheme="minorHAnsi"/>
          <w:sz w:val="24"/>
          <w:szCs w:val="24"/>
          <w:lang w:eastAsia="en-ZA"/>
        </w:rPr>
        <w:t>What mediating roles do socioeconomic status and media availability have in the impact of political messaging?</w:t>
      </w:r>
      <w:r w:rsidRPr="00EB0F13">
        <w:rPr>
          <w:rFonts w:ascii="Times New Roman" w:eastAsia="Times New Roman" w:hAnsi="Times New Roman" w:cs="Times New Roman"/>
          <w:sz w:val="24"/>
          <w:szCs w:val="24"/>
          <w:lang w:eastAsia="en-ZA"/>
        </w:rPr>
        <w:br/>
      </w:r>
    </w:p>
    <w:p w14:paraId="2064CEB0" w14:textId="5B4B5C52" w:rsidR="007B3BD0" w:rsidRDefault="007B3BD0" w:rsidP="007B3BD0">
      <w:pPr>
        <w:pStyle w:val="Quote"/>
        <w:rPr>
          <w:b/>
          <w:bCs/>
          <w:sz w:val="30"/>
          <w:szCs w:val="30"/>
          <w:lang w:eastAsia="en-ZA"/>
        </w:rPr>
      </w:pPr>
      <w:r w:rsidRPr="007B3BD0">
        <w:rPr>
          <w:b/>
          <w:bCs/>
          <w:sz w:val="30"/>
          <w:szCs w:val="30"/>
          <w:lang w:eastAsia="en-ZA"/>
        </w:rPr>
        <w:t>Research Hypothesis</w:t>
      </w:r>
    </w:p>
    <w:p w14:paraId="75219C4A" w14:textId="5CEF31DB" w:rsidR="007B3BD0" w:rsidRDefault="007B3BD0" w:rsidP="007B3BD0">
      <w:pPr>
        <w:rPr>
          <w:b/>
          <w:bCs/>
          <w:sz w:val="24"/>
          <w:szCs w:val="24"/>
          <w:lang w:eastAsia="en-ZA"/>
        </w:rPr>
      </w:pPr>
      <w:r w:rsidRPr="007B3BD0">
        <w:rPr>
          <w:b/>
          <w:bCs/>
          <w:sz w:val="24"/>
          <w:szCs w:val="24"/>
          <w:lang w:eastAsia="en-ZA"/>
        </w:rPr>
        <w:t>Hypothesis</w:t>
      </w:r>
      <w:r>
        <w:rPr>
          <w:b/>
          <w:bCs/>
          <w:sz w:val="24"/>
          <w:szCs w:val="24"/>
          <w:lang w:eastAsia="en-ZA"/>
        </w:rPr>
        <w:t>:</w:t>
      </w:r>
    </w:p>
    <w:p w14:paraId="0A7917E1" w14:textId="4A28804E" w:rsidR="007B3BD0" w:rsidRPr="007B3BD0" w:rsidRDefault="007B3BD0" w:rsidP="007B3BD0">
      <w:pPr>
        <w:rPr>
          <w:sz w:val="24"/>
          <w:szCs w:val="24"/>
          <w:lang w:eastAsia="en-ZA"/>
        </w:rPr>
      </w:pPr>
      <w:r w:rsidRPr="007B3BD0">
        <w:rPr>
          <w:sz w:val="24"/>
          <w:szCs w:val="24"/>
          <w:lang w:eastAsia="en-ZA"/>
        </w:rPr>
        <w:t>H₀ (Null Hypothesis): Among informal township entrepreneurs, there is no statistically significant correlation between financial performance and digital financial literacy.</w:t>
      </w:r>
    </w:p>
    <w:p w14:paraId="5F5875EC" w14:textId="6295CCA8" w:rsidR="007B3BD0" w:rsidRPr="007B3BD0" w:rsidRDefault="007B3BD0" w:rsidP="007B3BD0">
      <w:pPr>
        <w:rPr>
          <w:sz w:val="24"/>
          <w:szCs w:val="24"/>
          <w:lang w:eastAsia="en-ZA"/>
        </w:rPr>
      </w:pPr>
      <w:r w:rsidRPr="007B3BD0">
        <w:rPr>
          <w:sz w:val="24"/>
          <w:szCs w:val="24"/>
          <w:lang w:eastAsia="en-ZA"/>
        </w:rPr>
        <w:t>H₁ (Alternative Hypothesis): Informal business owners that possess greater digital financial literacy do better financially, as evidenced by stable income and expanded enterprises.</w:t>
      </w:r>
    </w:p>
    <w:p w14:paraId="42E77D5C" w14:textId="6E10FF95" w:rsidR="00EB0F13" w:rsidRPr="007B3BD0" w:rsidRDefault="007B3BD0" w:rsidP="00EB0F13">
      <w:pPr>
        <w:rPr>
          <w:b/>
          <w:bCs/>
          <w:sz w:val="24"/>
          <w:szCs w:val="24"/>
        </w:rPr>
      </w:pPr>
      <w:r w:rsidRPr="007B3BD0">
        <w:rPr>
          <w:b/>
          <w:bCs/>
          <w:sz w:val="24"/>
          <w:szCs w:val="24"/>
        </w:rPr>
        <w:t>Objective is</w:t>
      </w:r>
      <w:r>
        <w:rPr>
          <w:b/>
          <w:bCs/>
          <w:sz w:val="24"/>
          <w:szCs w:val="24"/>
        </w:rPr>
        <w:t>:</w:t>
      </w:r>
    </w:p>
    <w:p w14:paraId="052D48CE" w14:textId="7B2ADB96" w:rsidR="007B3BD0" w:rsidRPr="007B3BD0" w:rsidRDefault="007B3BD0" w:rsidP="007B3BD0">
      <w:pPr>
        <w:pStyle w:val="ListParagraph"/>
        <w:numPr>
          <w:ilvl w:val="0"/>
          <w:numId w:val="3"/>
        </w:numPr>
        <w:rPr>
          <w:sz w:val="24"/>
          <w:szCs w:val="24"/>
        </w:rPr>
      </w:pPr>
      <w:r w:rsidRPr="007B3BD0">
        <w:rPr>
          <w:sz w:val="24"/>
          <w:szCs w:val="24"/>
        </w:rPr>
        <w:t>to assess the degree of digital financial literacy among unofficial business owners in a few townships in South Africa.</w:t>
      </w:r>
    </w:p>
    <w:p w14:paraId="267CB5B0" w14:textId="03F70CCF" w:rsidR="007B3BD0" w:rsidRPr="007B3BD0" w:rsidRDefault="007B3BD0" w:rsidP="007B3BD0">
      <w:pPr>
        <w:pStyle w:val="ListParagraph"/>
        <w:numPr>
          <w:ilvl w:val="0"/>
          <w:numId w:val="3"/>
        </w:numPr>
        <w:rPr>
          <w:sz w:val="24"/>
          <w:szCs w:val="24"/>
        </w:rPr>
      </w:pPr>
      <w:r w:rsidRPr="007B3BD0">
        <w:rPr>
          <w:sz w:val="24"/>
          <w:szCs w:val="24"/>
        </w:rPr>
        <w:t>to determine how frequently and why these entrepreneurs use mobile financial tools.</w:t>
      </w:r>
    </w:p>
    <w:p w14:paraId="1BEA9E51" w14:textId="7CFF6D4C" w:rsidR="007B3BD0" w:rsidRPr="007B3BD0" w:rsidRDefault="007B3BD0" w:rsidP="007B3BD0">
      <w:pPr>
        <w:pStyle w:val="ListParagraph"/>
        <w:numPr>
          <w:ilvl w:val="0"/>
          <w:numId w:val="3"/>
        </w:numPr>
        <w:rPr>
          <w:sz w:val="24"/>
          <w:szCs w:val="24"/>
        </w:rPr>
      </w:pPr>
      <w:r w:rsidRPr="007B3BD0">
        <w:rPr>
          <w:sz w:val="24"/>
          <w:szCs w:val="24"/>
        </w:rPr>
        <w:t>to ascertain whether better saving, reinvestment, or budgeting practices are significantly correlated with digital literacy.</w:t>
      </w:r>
    </w:p>
    <w:p w14:paraId="6B2DEA37" w14:textId="7BB7FD9C" w:rsidR="007B3BD0" w:rsidRPr="00013E37" w:rsidRDefault="007B3BD0" w:rsidP="00013E37">
      <w:pPr>
        <w:pStyle w:val="ListParagraph"/>
        <w:numPr>
          <w:ilvl w:val="0"/>
          <w:numId w:val="3"/>
        </w:numPr>
        <w:rPr>
          <w:sz w:val="24"/>
          <w:szCs w:val="24"/>
        </w:rPr>
      </w:pPr>
      <w:r w:rsidRPr="007B3BD0">
        <w:rPr>
          <w:sz w:val="24"/>
          <w:szCs w:val="24"/>
        </w:rPr>
        <w:t>to offer suggestions for focused digital literacy initiatives that will improve the viability of township businesses.</w:t>
      </w:r>
    </w:p>
    <w:p w14:paraId="376FEF34" w14:textId="269F1CA3" w:rsidR="007B3BD0" w:rsidRDefault="00CF39DA" w:rsidP="007B3BD0">
      <w:pPr>
        <w:pStyle w:val="Quote"/>
        <w:rPr>
          <w:b/>
          <w:bCs/>
          <w:sz w:val="30"/>
          <w:szCs w:val="30"/>
        </w:rPr>
      </w:pPr>
      <w:r w:rsidRPr="00CF39DA">
        <w:rPr>
          <w:b/>
          <w:bCs/>
          <w:sz w:val="30"/>
          <w:szCs w:val="30"/>
        </w:rPr>
        <w:t>Target and Accessible Population</w:t>
      </w:r>
    </w:p>
    <w:p w14:paraId="411A6A4A" w14:textId="19B346F3" w:rsidR="00CF39DA" w:rsidRDefault="00CF39DA" w:rsidP="00CF39DA">
      <w:pPr>
        <w:rPr>
          <w:b/>
          <w:bCs/>
          <w:sz w:val="24"/>
          <w:szCs w:val="24"/>
        </w:rPr>
      </w:pPr>
      <w:r w:rsidRPr="00CF39DA">
        <w:rPr>
          <w:b/>
          <w:bCs/>
          <w:sz w:val="24"/>
          <w:szCs w:val="24"/>
        </w:rPr>
        <w:t>Target</w:t>
      </w:r>
      <w:r>
        <w:rPr>
          <w:b/>
          <w:bCs/>
          <w:sz w:val="24"/>
          <w:szCs w:val="24"/>
        </w:rPr>
        <w:t xml:space="preserve"> Population</w:t>
      </w:r>
      <w:r w:rsidRPr="00CF39DA">
        <w:rPr>
          <w:b/>
          <w:bCs/>
          <w:sz w:val="24"/>
          <w:szCs w:val="24"/>
        </w:rPr>
        <w:t>:</w:t>
      </w:r>
    </w:p>
    <w:p w14:paraId="54235892" w14:textId="77777777" w:rsidR="00606168" w:rsidRPr="000C366C" w:rsidRDefault="00606168" w:rsidP="00606168">
      <w:pPr>
        <w:rPr>
          <w:sz w:val="24"/>
          <w:szCs w:val="24"/>
        </w:rPr>
      </w:pPr>
      <w:r w:rsidRPr="000C366C">
        <w:rPr>
          <w:sz w:val="24"/>
          <w:szCs w:val="24"/>
        </w:rPr>
        <w:t>Informal business owners in South African townships, namely in Soweto (Gauteng), Khayelitsha (Western Cape), and Umlazi (KwaZulu-Natal), make up the study's target demographic. These people usually oversee microbusinesses in industries like spaza shops, car washes, mobile salons, backyard manufacturing, and street selling. These entrepreneurs, who operate outside of the formal economy, represent an important but frequently neglected sector of the national economy.</w:t>
      </w:r>
    </w:p>
    <w:p w14:paraId="385EF2C7" w14:textId="77A43F62" w:rsidR="00CF39DA" w:rsidRPr="00606168" w:rsidRDefault="00606168" w:rsidP="00606168">
      <w:pPr>
        <w:rPr>
          <w:sz w:val="24"/>
          <w:szCs w:val="24"/>
        </w:rPr>
      </w:pPr>
      <w:r w:rsidRPr="000C366C">
        <w:rPr>
          <w:sz w:val="24"/>
          <w:szCs w:val="24"/>
        </w:rPr>
        <w:t>This demographic was selected due to their growing use of mobile banking services like Nedbank's MobiMoney, Capitec, eWallet, and TymeBank. In places where traditional banking services are few or non</w:t>
      </w:r>
      <w:r>
        <w:rPr>
          <w:sz w:val="24"/>
          <w:szCs w:val="24"/>
        </w:rPr>
        <w:t>-</w:t>
      </w:r>
      <w:r w:rsidRPr="000C366C">
        <w:rPr>
          <w:sz w:val="24"/>
          <w:szCs w:val="24"/>
        </w:rPr>
        <w:t>existent, these instruments act as lifelines. According to Statistics South Africa (2021),</w:t>
      </w:r>
      <w:r>
        <w:t xml:space="preserve"> </w:t>
      </w:r>
      <w:r w:rsidRPr="000C366C">
        <w:rPr>
          <w:sz w:val="24"/>
          <w:szCs w:val="24"/>
        </w:rPr>
        <w:t>The informal sector employs more than 2.5 million individuals, many of whom work in township environments.</w:t>
      </w:r>
      <w:r w:rsidRPr="00794597">
        <w:t xml:space="preserve"> </w:t>
      </w:r>
      <w:r w:rsidRPr="00794597">
        <w:rPr>
          <w:sz w:val="24"/>
          <w:szCs w:val="24"/>
        </w:rPr>
        <w:t>Because misalignment can result in biased outcomes and ineffective use of research resources, it is imperative to identify the correct target group (Willie, 2024).</w:t>
      </w:r>
      <w:r>
        <w:rPr>
          <w:sz w:val="24"/>
          <w:szCs w:val="24"/>
        </w:rPr>
        <w:t xml:space="preserve"> </w:t>
      </w:r>
      <w:r>
        <w:rPr>
          <w:sz w:val="24"/>
          <w:szCs w:val="24"/>
        </w:rPr>
        <w:t xml:space="preserve"> </w:t>
      </w:r>
    </w:p>
    <w:p w14:paraId="6A05DB81" w14:textId="4D196832" w:rsidR="00CF39DA" w:rsidRPr="00794597" w:rsidRDefault="00CF39DA" w:rsidP="00CF39DA">
      <w:pPr>
        <w:rPr>
          <w:rFonts w:ascii="Times New Roman" w:eastAsia="Times New Roman" w:hAnsi="Times New Roman" w:cs="Times New Roman"/>
          <w:sz w:val="24"/>
          <w:szCs w:val="24"/>
          <w:lang w:eastAsia="en-ZA"/>
        </w:rPr>
      </w:pPr>
      <w:r w:rsidRPr="00CF39DA">
        <w:rPr>
          <w:rFonts w:eastAsia="Times New Roman" w:cstheme="minorHAnsi"/>
          <w:b/>
          <w:bCs/>
          <w:sz w:val="24"/>
          <w:szCs w:val="24"/>
          <w:lang w:eastAsia="en-ZA"/>
        </w:rPr>
        <w:t>Accessible Population:</w:t>
      </w:r>
      <w:r w:rsidRPr="00CF39DA">
        <w:rPr>
          <w:rFonts w:eastAsia="Times New Roman" w:cstheme="minorHAnsi"/>
          <w:sz w:val="24"/>
          <w:szCs w:val="24"/>
          <w:lang w:eastAsia="en-ZA"/>
        </w:rPr>
        <w:t> </w:t>
      </w:r>
      <w:r w:rsidRPr="00CF39DA">
        <w:rPr>
          <w:rFonts w:eastAsia="Times New Roman" w:cstheme="minorHAnsi"/>
          <w:sz w:val="24"/>
          <w:szCs w:val="24"/>
          <w:lang w:eastAsia="en-ZA"/>
        </w:rPr>
        <w:br/>
      </w:r>
      <w:r w:rsidR="00794597" w:rsidRPr="00794597">
        <w:rPr>
          <w:rFonts w:eastAsia="Times New Roman" w:cstheme="minorHAnsi"/>
          <w:sz w:val="24"/>
          <w:szCs w:val="24"/>
          <w:lang w:eastAsia="en-ZA"/>
        </w:rPr>
        <w:t>Informal business owners who are presently active in Soweto and Alexandra (both in Gauteng) are among the accessible population. These regions were chosen because of their dense populations, thriving informal economies, and measures to promote the use of mobile money. Local business forums, internet networks like Kasi-Hub and Township Entrepreneurs Alliance, and community-based groups will all be used to connect with entrepreneurs. The choice to concentrate on these areas was influenced by their active involvement in the digital financial transition and logistical accessibility (Shawky et al., 2019).</w:t>
      </w:r>
    </w:p>
    <w:p w14:paraId="0775467F" w14:textId="77777777" w:rsidR="00030E2B" w:rsidRDefault="00030E2B" w:rsidP="00030E2B">
      <w:pPr>
        <w:spacing w:after="240" w:line="240" w:lineRule="auto"/>
        <w:rPr>
          <w:rFonts w:eastAsia="Times New Roman" w:cstheme="minorHAnsi"/>
          <w:b/>
          <w:bCs/>
          <w:sz w:val="24"/>
          <w:szCs w:val="24"/>
          <w:lang w:eastAsia="en-ZA"/>
        </w:rPr>
      </w:pPr>
      <w:r w:rsidRPr="00030E2B">
        <w:rPr>
          <w:rFonts w:eastAsia="Times New Roman" w:cstheme="minorHAnsi"/>
          <w:b/>
          <w:bCs/>
          <w:sz w:val="24"/>
          <w:szCs w:val="24"/>
          <w:lang w:eastAsia="en-ZA"/>
        </w:rPr>
        <w:t>Parameters:</w:t>
      </w:r>
    </w:p>
    <w:p w14:paraId="53BEA5A8" w14:textId="77777777" w:rsidR="00030E2B" w:rsidRPr="00794597" w:rsidRDefault="00030E2B" w:rsidP="00794597">
      <w:pPr>
        <w:spacing w:after="240" w:line="240" w:lineRule="auto"/>
        <w:rPr>
          <w:rFonts w:eastAsia="Times New Roman" w:cstheme="minorHAnsi"/>
          <w:sz w:val="24"/>
          <w:szCs w:val="24"/>
          <w:lang w:eastAsia="en-ZA"/>
        </w:rPr>
      </w:pPr>
      <w:r w:rsidRPr="00794597">
        <w:rPr>
          <w:rFonts w:eastAsia="Times New Roman" w:cstheme="minorHAnsi"/>
          <w:sz w:val="24"/>
          <w:szCs w:val="24"/>
          <w:lang w:eastAsia="en-ZA"/>
        </w:rPr>
        <w:t>Important requirements for inclusion are:</w:t>
      </w:r>
    </w:p>
    <w:p w14:paraId="17A2DE63" w14:textId="77777777" w:rsidR="00030E2B" w:rsidRDefault="00030E2B" w:rsidP="00030E2B">
      <w:pPr>
        <w:pStyle w:val="ListParagraph"/>
        <w:numPr>
          <w:ilvl w:val="0"/>
          <w:numId w:val="5"/>
        </w:numPr>
        <w:spacing w:after="240" w:line="240" w:lineRule="auto"/>
        <w:rPr>
          <w:rFonts w:eastAsia="Times New Roman" w:cstheme="minorHAnsi"/>
          <w:sz w:val="24"/>
          <w:szCs w:val="24"/>
          <w:lang w:eastAsia="en-ZA"/>
        </w:rPr>
      </w:pPr>
      <w:r w:rsidRPr="00030E2B">
        <w:rPr>
          <w:rFonts w:eastAsia="Times New Roman" w:cstheme="minorHAnsi"/>
          <w:sz w:val="24"/>
          <w:szCs w:val="24"/>
          <w:lang w:eastAsia="en-ZA"/>
        </w:rPr>
        <w:t>Age: at least eighteen</w:t>
      </w:r>
    </w:p>
    <w:p w14:paraId="2BFF728B" w14:textId="77777777" w:rsidR="00030E2B" w:rsidRDefault="00030E2B" w:rsidP="00030E2B">
      <w:pPr>
        <w:pStyle w:val="ListParagraph"/>
        <w:numPr>
          <w:ilvl w:val="0"/>
          <w:numId w:val="5"/>
        </w:numPr>
        <w:spacing w:after="240" w:line="240" w:lineRule="auto"/>
        <w:rPr>
          <w:rFonts w:eastAsia="Times New Roman" w:cstheme="minorHAnsi"/>
          <w:sz w:val="24"/>
          <w:szCs w:val="24"/>
          <w:lang w:eastAsia="en-ZA"/>
        </w:rPr>
      </w:pPr>
      <w:r w:rsidRPr="00030E2B">
        <w:rPr>
          <w:rFonts w:eastAsia="Times New Roman" w:cstheme="minorHAnsi"/>
          <w:sz w:val="24"/>
          <w:szCs w:val="24"/>
          <w:lang w:eastAsia="en-ZA"/>
        </w:rPr>
        <w:t>must have owned or run an unofficial business for a minimum of six months.</w:t>
      </w:r>
    </w:p>
    <w:p w14:paraId="0DA50049" w14:textId="77777777" w:rsidR="00030E2B" w:rsidRDefault="00030E2B" w:rsidP="00030E2B">
      <w:pPr>
        <w:pStyle w:val="ListParagraph"/>
        <w:numPr>
          <w:ilvl w:val="0"/>
          <w:numId w:val="5"/>
        </w:numPr>
        <w:spacing w:after="240" w:line="240" w:lineRule="auto"/>
        <w:rPr>
          <w:rFonts w:eastAsia="Times New Roman" w:cstheme="minorHAnsi"/>
          <w:sz w:val="24"/>
          <w:szCs w:val="24"/>
          <w:lang w:eastAsia="en-ZA"/>
        </w:rPr>
      </w:pPr>
      <w:r w:rsidRPr="00030E2B">
        <w:rPr>
          <w:rFonts w:eastAsia="Times New Roman" w:cstheme="minorHAnsi"/>
          <w:sz w:val="24"/>
          <w:szCs w:val="24"/>
          <w:lang w:eastAsia="en-ZA"/>
        </w:rPr>
        <w:t>Make active use of a minimum of one mobile financial service (e.g., TymeBank, eWallet, Capitec App).</w:t>
      </w:r>
    </w:p>
    <w:p w14:paraId="11EF6882" w14:textId="77777777" w:rsidR="00030E2B" w:rsidRDefault="00030E2B" w:rsidP="00030E2B">
      <w:pPr>
        <w:pStyle w:val="ListParagraph"/>
        <w:numPr>
          <w:ilvl w:val="0"/>
          <w:numId w:val="5"/>
        </w:numPr>
        <w:spacing w:after="240" w:line="240" w:lineRule="auto"/>
        <w:rPr>
          <w:rFonts w:eastAsia="Times New Roman" w:cstheme="minorHAnsi"/>
          <w:sz w:val="24"/>
          <w:szCs w:val="24"/>
          <w:lang w:eastAsia="en-ZA"/>
        </w:rPr>
      </w:pPr>
      <w:r w:rsidRPr="00030E2B">
        <w:rPr>
          <w:rFonts w:eastAsia="Times New Roman" w:cstheme="minorHAnsi"/>
          <w:sz w:val="24"/>
          <w:szCs w:val="24"/>
          <w:lang w:eastAsia="en-ZA"/>
        </w:rPr>
        <w:t>Work inside the designated township limits.</w:t>
      </w:r>
    </w:p>
    <w:p w14:paraId="13CF9B59" w14:textId="6D6D7492" w:rsidR="00030E2B" w:rsidRDefault="00030E2B" w:rsidP="00030E2B">
      <w:pPr>
        <w:spacing w:after="240" w:line="240" w:lineRule="auto"/>
        <w:rPr>
          <w:rFonts w:eastAsia="Times New Roman" w:cstheme="minorHAnsi"/>
          <w:sz w:val="24"/>
          <w:szCs w:val="24"/>
          <w:lang w:eastAsia="en-ZA"/>
        </w:rPr>
      </w:pPr>
      <w:r w:rsidRPr="00030E2B">
        <w:rPr>
          <w:rFonts w:eastAsia="Times New Roman" w:cstheme="minorHAnsi"/>
          <w:b/>
          <w:bCs/>
          <w:sz w:val="24"/>
          <w:szCs w:val="24"/>
          <w:lang w:eastAsia="en-ZA"/>
        </w:rPr>
        <w:t>Analysis Unit:</w:t>
      </w:r>
      <w:r w:rsidRPr="00030E2B">
        <w:rPr>
          <w:rFonts w:eastAsia="Times New Roman" w:cstheme="minorHAnsi"/>
          <w:sz w:val="24"/>
          <w:szCs w:val="24"/>
          <w:lang w:eastAsia="en-ZA"/>
        </w:rPr>
        <w:t xml:space="preserve"> </w:t>
      </w:r>
    </w:p>
    <w:p w14:paraId="1B1E07CB" w14:textId="3F71B83F" w:rsidR="00794597" w:rsidRDefault="00794597" w:rsidP="00794597">
      <w:pPr>
        <w:spacing w:after="0" w:line="240" w:lineRule="auto"/>
        <w:rPr>
          <w:rFonts w:eastAsia="Times New Roman" w:cstheme="minorHAnsi"/>
          <w:sz w:val="24"/>
          <w:szCs w:val="24"/>
          <w:lang w:eastAsia="en-ZA"/>
        </w:rPr>
      </w:pPr>
      <w:r w:rsidRPr="00794597">
        <w:rPr>
          <w:rFonts w:eastAsia="Times New Roman" w:cstheme="minorHAnsi"/>
          <w:sz w:val="24"/>
          <w:szCs w:val="24"/>
          <w:lang w:eastAsia="en-ZA"/>
        </w:rPr>
        <w:t>The individual informal entrepreneur serves as the study's unit of analysis. For statistical analysis, each participant's answers about their use of digital tools, business performance, and budgeting practices will be handled as a distinct, separate unit.</w:t>
      </w:r>
      <w:r w:rsidRPr="00794597">
        <w:rPr>
          <w:rFonts w:eastAsia="Times New Roman" w:cstheme="minorHAnsi"/>
          <w:sz w:val="24"/>
          <w:szCs w:val="24"/>
          <w:lang w:eastAsia="en-ZA"/>
        </w:rPr>
        <w:br/>
        <w:t>The researcher may make reliable inferences regarding the influence of digital financial literacy on business outcomes in the unorganized sector thanks to this level of analysis.</w:t>
      </w:r>
    </w:p>
    <w:p w14:paraId="7F8C0099" w14:textId="15B33224" w:rsidR="00CF39DA" w:rsidRDefault="00030E2B" w:rsidP="00030E2B">
      <w:pPr>
        <w:pStyle w:val="Quote"/>
        <w:rPr>
          <w:b/>
          <w:bCs/>
          <w:sz w:val="30"/>
          <w:szCs w:val="30"/>
        </w:rPr>
      </w:pPr>
      <w:r w:rsidRPr="00030E2B">
        <w:rPr>
          <w:b/>
          <w:bCs/>
          <w:sz w:val="30"/>
          <w:szCs w:val="30"/>
        </w:rPr>
        <w:t>Sampling Methods</w:t>
      </w:r>
    </w:p>
    <w:p w14:paraId="78A256E0" w14:textId="304FF8F4" w:rsidR="007D3024" w:rsidRPr="007D3024" w:rsidRDefault="007D3024" w:rsidP="007D3024">
      <w:pPr>
        <w:spacing w:after="0" w:line="240" w:lineRule="auto"/>
        <w:rPr>
          <w:rFonts w:eastAsia="Times New Roman" w:cstheme="minorHAnsi"/>
          <w:sz w:val="24"/>
          <w:szCs w:val="24"/>
          <w:lang w:eastAsia="en-ZA"/>
        </w:rPr>
      </w:pPr>
      <w:r w:rsidRPr="007D3024">
        <w:rPr>
          <w:rFonts w:eastAsia="Times New Roman" w:cstheme="minorHAnsi"/>
          <w:sz w:val="24"/>
          <w:szCs w:val="24"/>
          <w:lang w:eastAsia="en-ZA"/>
        </w:rPr>
        <w:t>Because of the structure and diversity of the informal township economy in South Africa, stratified random sampling was used as the sampling method for this study. In stratified sampling, a random sample is chosen from each stratum after the larger target population is divided into homogeneous subgroups or strata according to significant categories, such as business type (e.g., vendors, mobile salons, spaza shops) and location (e.g., Soweto, Alexandra, Khayelitsha) (Makwana et al., 2023).</w:t>
      </w:r>
      <w:r w:rsidRPr="007D3024">
        <w:rPr>
          <w:rFonts w:eastAsia="Times New Roman" w:cstheme="minorHAnsi"/>
          <w:sz w:val="24"/>
          <w:szCs w:val="24"/>
          <w:lang w:eastAsia="en-ZA"/>
        </w:rPr>
        <w:br/>
      </w:r>
      <w:r w:rsidRPr="007D3024">
        <w:rPr>
          <w:rFonts w:eastAsia="Times New Roman" w:cstheme="minorHAnsi"/>
          <w:sz w:val="24"/>
          <w:szCs w:val="24"/>
          <w:lang w:eastAsia="en-ZA"/>
        </w:rPr>
        <w:br/>
        <w:t xml:space="preserve">This technique guarantees that the sample is balanced and representative. Stratified sampling offers a methodical approach to include all important subgroups, lowering sample bias and boosting accuracy in subgroup-level analysis, as opposed to simple random selection, which may inadvertently leave out less obvious business kinds or locations (Berndt, 2020). </w:t>
      </w:r>
      <w:r>
        <w:rPr>
          <w:rFonts w:eastAsia="Times New Roman" w:cstheme="minorHAnsi"/>
          <w:sz w:val="24"/>
          <w:szCs w:val="24"/>
          <w:lang w:eastAsia="en-ZA"/>
        </w:rPr>
        <w:t xml:space="preserve">About </w:t>
      </w:r>
      <w:r w:rsidRPr="007D3024">
        <w:rPr>
          <w:rFonts w:eastAsia="Times New Roman" w:cstheme="minorHAnsi"/>
          <w:sz w:val="24"/>
          <w:szCs w:val="24"/>
          <w:lang w:eastAsia="en-ZA"/>
        </w:rPr>
        <w:t>150–200 informal business owners from the three townships that were previously identified make up the suggested sample size. This range guarantees statistical significance for quantitative analysis utilizing regression and correlation models while permitting practical fieldwork. Such a sample size is appropriate for inferential analysis and hypothesis testing under the positivist paradigm.</w:t>
      </w:r>
    </w:p>
    <w:p w14:paraId="06EBC278" w14:textId="77777777" w:rsidR="007D3024" w:rsidRPr="007D3024" w:rsidRDefault="007D3024" w:rsidP="007D3024">
      <w:pPr>
        <w:spacing w:after="0" w:line="240" w:lineRule="auto"/>
        <w:rPr>
          <w:rFonts w:eastAsia="Times New Roman" w:cstheme="minorHAnsi"/>
          <w:sz w:val="24"/>
          <w:szCs w:val="24"/>
          <w:lang w:eastAsia="en-ZA"/>
        </w:rPr>
      </w:pPr>
    </w:p>
    <w:p w14:paraId="09679D2C" w14:textId="5A5B534D" w:rsidR="00606168" w:rsidRPr="00C953EC" w:rsidRDefault="007D3024" w:rsidP="00C953EC">
      <w:pPr>
        <w:spacing w:after="0" w:line="240" w:lineRule="auto"/>
        <w:rPr>
          <w:rFonts w:eastAsia="Times New Roman" w:cstheme="minorHAnsi"/>
          <w:sz w:val="24"/>
          <w:szCs w:val="24"/>
          <w:lang w:eastAsia="en-ZA"/>
        </w:rPr>
      </w:pPr>
      <w:r w:rsidRPr="007D3024">
        <w:rPr>
          <w:rFonts w:eastAsia="Times New Roman" w:cstheme="minorHAnsi"/>
          <w:sz w:val="24"/>
          <w:szCs w:val="24"/>
          <w:lang w:eastAsia="en-ZA"/>
        </w:rPr>
        <w:t>Contact databases kept up to date by community organizations, entrepreneurship alliances, and local development forums will be used to recruit participants. To ensure equitable representation, proportional stratified sampling will be used when subgroup sizes are not uniform.</w:t>
      </w:r>
      <w:r>
        <w:rPr>
          <w:rFonts w:eastAsia="Times New Roman" w:cstheme="minorHAnsi"/>
          <w:sz w:val="24"/>
          <w:szCs w:val="24"/>
          <w:lang w:eastAsia="en-ZA"/>
        </w:rPr>
        <w:t xml:space="preserve"> </w:t>
      </w:r>
      <w:r w:rsidRPr="007D3024">
        <w:rPr>
          <w:rFonts w:eastAsia="Times New Roman" w:cstheme="minorHAnsi"/>
          <w:sz w:val="24"/>
          <w:szCs w:val="24"/>
          <w:lang w:eastAsia="en-ZA"/>
        </w:rPr>
        <w:t>Furthermore, this study benefits from stratified sampling since it offers a precise framework for comparison analysis. For example, compared to spaza shops, mobile salons may use budgeting applications more frequently, according to the study.</w:t>
      </w:r>
      <w:r w:rsidR="00C953EC" w:rsidRPr="00C953EC">
        <w:t xml:space="preserve"> </w:t>
      </w:r>
      <w:r w:rsidR="00C953EC" w:rsidRPr="00C953EC">
        <w:rPr>
          <w:rFonts w:eastAsia="Times New Roman" w:cstheme="minorHAnsi"/>
          <w:sz w:val="24"/>
          <w:szCs w:val="24"/>
          <w:lang w:eastAsia="en-ZA"/>
        </w:rPr>
        <w:t>This sampling strategy improves external validity, meaning the findings can be more confidently generalized to the wider population of informal township businesses in South Africa (Makwana et al., 2023).</w:t>
      </w:r>
      <w:r w:rsidR="00C953EC">
        <w:rPr>
          <w:rFonts w:eastAsia="Times New Roman" w:cstheme="minorHAnsi"/>
          <w:sz w:val="24"/>
          <w:szCs w:val="24"/>
          <w:lang w:eastAsia="en-ZA"/>
        </w:rPr>
        <w:t xml:space="preserve"> </w:t>
      </w:r>
    </w:p>
    <w:p w14:paraId="109AE9B7" w14:textId="406FCC68" w:rsidR="0018027B" w:rsidRDefault="0018027B" w:rsidP="000C366C">
      <w:pPr>
        <w:spacing w:after="0" w:line="240" w:lineRule="auto"/>
        <w:rPr>
          <w:rFonts w:eastAsia="Times New Roman" w:cstheme="minorHAnsi"/>
          <w:sz w:val="24"/>
          <w:szCs w:val="24"/>
          <w:lang w:eastAsia="en-ZA"/>
        </w:rPr>
      </w:pPr>
    </w:p>
    <w:p w14:paraId="1C0179B7" w14:textId="586D59DF" w:rsidR="00C953EC" w:rsidRDefault="00C953EC" w:rsidP="00C953EC">
      <w:pPr>
        <w:pStyle w:val="Quote"/>
        <w:rPr>
          <w:b/>
          <w:bCs/>
          <w:sz w:val="30"/>
          <w:szCs w:val="30"/>
          <w:lang w:eastAsia="en-ZA"/>
        </w:rPr>
      </w:pPr>
      <w:r w:rsidRPr="00C953EC">
        <w:rPr>
          <w:b/>
          <w:bCs/>
          <w:sz w:val="30"/>
          <w:szCs w:val="30"/>
          <w:lang w:eastAsia="en-ZA"/>
        </w:rPr>
        <w:t>Data Collection Methods</w:t>
      </w:r>
    </w:p>
    <w:p w14:paraId="55851981" w14:textId="08C80713" w:rsidR="008E65C6" w:rsidRDefault="008E65C6" w:rsidP="008E65C6">
      <w:pPr>
        <w:spacing w:after="0" w:line="240" w:lineRule="auto"/>
        <w:rPr>
          <w:rFonts w:eastAsia="Times New Roman" w:cstheme="minorHAnsi"/>
          <w:sz w:val="24"/>
          <w:szCs w:val="24"/>
          <w:lang w:eastAsia="en-ZA"/>
        </w:rPr>
      </w:pPr>
      <w:r w:rsidRPr="008E65C6">
        <w:rPr>
          <w:rFonts w:eastAsia="Times New Roman" w:cstheme="minorHAnsi"/>
          <w:sz w:val="24"/>
          <w:szCs w:val="24"/>
          <w:lang w:eastAsia="en-ZA"/>
        </w:rPr>
        <w:t>A structured questionnaire survey will be the main tool used in this research study to gather data. The positivist worldview, which prioritizes objectivity, reproducibility, and control over the data collection process, is closely compatible with this methodology. In order to make generalizable conclusions, the objective is to gather quantitative data from informal entrepreneurs that can be statistically analy</w:t>
      </w:r>
      <w:r>
        <w:rPr>
          <w:rFonts w:eastAsia="Times New Roman" w:cstheme="minorHAnsi"/>
          <w:sz w:val="24"/>
          <w:szCs w:val="24"/>
          <w:lang w:eastAsia="en-ZA"/>
        </w:rPr>
        <w:t>s</w:t>
      </w:r>
      <w:r w:rsidRPr="008E65C6">
        <w:rPr>
          <w:rFonts w:eastAsia="Times New Roman" w:cstheme="minorHAnsi"/>
          <w:sz w:val="24"/>
          <w:szCs w:val="24"/>
          <w:lang w:eastAsia="en-ZA"/>
        </w:rPr>
        <w:t>ed (Taherdoost, 2021).</w:t>
      </w:r>
      <w:r w:rsidRPr="008E65C6">
        <w:rPr>
          <w:rFonts w:eastAsia="Times New Roman" w:cstheme="minorHAnsi"/>
          <w:sz w:val="24"/>
          <w:szCs w:val="24"/>
          <w:lang w:eastAsia="en-ZA"/>
        </w:rPr>
        <w:br/>
        <w:t xml:space="preserve">To evaluate several factors, the structured questionnaire will include both closed-ended and scaled-response questions (like Likert scales). </w:t>
      </w:r>
    </w:p>
    <w:p w14:paraId="7CC417D3" w14:textId="77777777" w:rsidR="00F24EF3" w:rsidRDefault="00F24EF3" w:rsidP="008E65C6">
      <w:pPr>
        <w:spacing w:after="0" w:line="240" w:lineRule="auto"/>
        <w:rPr>
          <w:rFonts w:eastAsia="Times New Roman" w:cstheme="minorHAnsi"/>
          <w:sz w:val="24"/>
          <w:szCs w:val="24"/>
          <w:lang w:eastAsia="en-ZA"/>
        </w:rPr>
      </w:pPr>
    </w:p>
    <w:p w14:paraId="36BA41F2" w14:textId="77777777" w:rsidR="008E65C6" w:rsidRDefault="008E65C6" w:rsidP="008E65C6">
      <w:pPr>
        <w:spacing w:after="0" w:line="240" w:lineRule="auto"/>
        <w:rPr>
          <w:rFonts w:eastAsia="Times New Roman" w:cstheme="minorHAnsi"/>
          <w:sz w:val="24"/>
          <w:szCs w:val="24"/>
          <w:lang w:eastAsia="en-ZA"/>
        </w:rPr>
      </w:pPr>
      <w:r w:rsidRPr="008E65C6">
        <w:rPr>
          <w:rFonts w:eastAsia="Times New Roman" w:cstheme="minorHAnsi"/>
          <w:b/>
          <w:bCs/>
          <w:sz w:val="24"/>
          <w:szCs w:val="24"/>
          <w:lang w:eastAsia="en-ZA"/>
        </w:rPr>
        <w:t>These will consist of:</w:t>
      </w:r>
    </w:p>
    <w:p w14:paraId="7D3807B4" w14:textId="77777777" w:rsidR="008E65C6" w:rsidRDefault="008E65C6" w:rsidP="008E65C6">
      <w:pPr>
        <w:pStyle w:val="ListParagraph"/>
        <w:numPr>
          <w:ilvl w:val="0"/>
          <w:numId w:val="12"/>
        </w:numPr>
        <w:spacing w:after="0" w:line="240" w:lineRule="auto"/>
        <w:rPr>
          <w:rFonts w:eastAsia="Times New Roman" w:cstheme="minorHAnsi"/>
          <w:sz w:val="24"/>
          <w:szCs w:val="24"/>
          <w:lang w:eastAsia="en-ZA"/>
        </w:rPr>
      </w:pPr>
      <w:r>
        <w:rPr>
          <w:rFonts w:eastAsia="Times New Roman" w:cstheme="minorHAnsi"/>
          <w:sz w:val="24"/>
          <w:szCs w:val="24"/>
          <w:lang w:eastAsia="en-ZA"/>
        </w:rPr>
        <w:t>F</w:t>
      </w:r>
      <w:r w:rsidRPr="008E65C6">
        <w:rPr>
          <w:rFonts w:eastAsia="Times New Roman" w:cstheme="minorHAnsi"/>
          <w:sz w:val="24"/>
          <w:szCs w:val="24"/>
          <w:lang w:eastAsia="en-ZA"/>
        </w:rPr>
        <w:t>amiliarity with online financial tools,</w:t>
      </w:r>
    </w:p>
    <w:p w14:paraId="38315FCE" w14:textId="77777777" w:rsidR="008E65C6" w:rsidRDefault="008E65C6" w:rsidP="008E65C6">
      <w:pPr>
        <w:pStyle w:val="ListParagraph"/>
        <w:numPr>
          <w:ilvl w:val="0"/>
          <w:numId w:val="12"/>
        </w:numPr>
        <w:spacing w:after="0" w:line="240" w:lineRule="auto"/>
        <w:rPr>
          <w:rFonts w:eastAsia="Times New Roman" w:cstheme="minorHAnsi"/>
          <w:sz w:val="24"/>
          <w:szCs w:val="24"/>
          <w:lang w:eastAsia="en-ZA"/>
        </w:rPr>
      </w:pPr>
      <w:r w:rsidRPr="008E65C6">
        <w:rPr>
          <w:rFonts w:eastAsia="Times New Roman" w:cstheme="minorHAnsi"/>
          <w:sz w:val="24"/>
          <w:szCs w:val="24"/>
          <w:lang w:eastAsia="en-ZA"/>
        </w:rPr>
        <w:t>Use frequency (e.g., eWallet, Capitec app),</w:t>
      </w:r>
    </w:p>
    <w:p w14:paraId="5CE08EAB" w14:textId="77777777" w:rsidR="008E65C6" w:rsidRDefault="008E65C6" w:rsidP="008E65C6">
      <w:pPr>
        <w:pStyle w:val="ListParagraph"/>
        <w:numPr>
          <w:ilvl w:val="0"/>
          <w:numId w:val="12"/>
        </w:numPr>
        <w:spacing w:after="0" w:line="240" w:lineRule="auto"/>
        <w:rPr>
          <w:rFonts w:eastAsia="Times New Roman" w:cstheme="minorHAnsi"/>
          <w:sz w:val="24"/>
          <w:szCs w:val="24"/>
          <w:lang w:eastAsia="en-ZA"/>
        </w:rPr>
      </w:pPr>
      <w:r>
        <w:rPr>
          <w:rFonts w:eastAsia="Times New Roman" w:cstheme="minorHAnsi"/>
          <w:sz w:val="24"/>
          <w:szCs w:val="24"/>
          <w:lang w:eastAsia="en-ZA"/>
        </w:rPr>
        <w:t>M</w:t>
      </w:r>
      <w:r w:rsidRPr="008E65C6">
        <w:rPr>
          <w:rFonts w:eastAsia="Times New Roman" w:cstheme="minorHAnsi"/>
          <w:sz w:val="24"/>
          <w:szCs w:val="24"/>
          <w:lang w:eastAsia="en-ZA"/>
        </w:rPr>
        <w:t>ethods for business budgeting,</w:t>
      </w:r>
    </w:p>
    <w:p w14:paraId="2ECD0F9F" w14:textId="6416E1C8" w:rsidR="008E65C6" w:rsidRPr="008E65C6" w:rsidRDefault="008E65C6" w:rsidP="008E65C6">
      <w:pPr>
        <w:pStyle w:val="ListParagraph"/>
        <w:numPr>
          <w:ilvl w:val="0"/>
          <w:numId w:val="12"/>
        </w:numPr>
        <w:spacing w:after="0" w:line="240" w:lineRule="auto"/>
        <w:rPr>
          <w:rFonts w:eastAsia="Times New Roman" w:cstheme="minorHAnsi"/>
          <w:sz w:val="24"/>
          <w:szCs w:val="24"/>
          <w:lang w:eastAsia="en-ZA"/>
        </w:rPr>
      </w:pPr>
      <w:r>
        <w:rPr>
          <w:rFonts w:eastAsia="Times New Roman" w:cstheme="minorHAnsi"/>
          <w:sz w:val="24"/>
          <w:szCs w:val="24"/>
          <w:lang w:eastAsia="en-ZA"/>
        </w:rPr>
        <w:t>V</w:t>
      </w:r>
      <w:r w:rsidRPr="008E65C6">
        <w:rPr>
          <w:rFonts w:eastAsia="Times New Roman" w:cstheme="minorHAnsi"/>
          <w:sz w:val="24"/>
          <w:szCs w:val="24"/>
          <w:lang w:eastAsia="en-ZA"/>
        </w:rPr>
        <w:t>iews on the rise and stability of income.</w:t>
      </w:r>
    </w:p>
    <w:p w14:paraId="761D962D" w14:textId="2DCE2E3C" w:rsidR="00C953EC" w:rsidRDefault="00C953EC" w:rsidP="00C953EC">
      <w:pPr>
        <w:rPr>
          <w:lang w:eastAsia="en-ZA"/>
        </w:rPr>
      </w:pPr>
    </w:p>
    <w:p w14:paraId="19C15920" w14:textId="77777777" w:rsidR="00F46F79" w:rsidRPr="00F46F79" w:rsidRDefault="008E65C6" w:rsidP="00F46F79">
      <w:pPr>
        <w:spacing w:after="0" w:line="240" w:lineRule="auto"/>
        <w:rPr>
          <w:rFonts w:eastAsia="Times New Roman" w:cstheme="minorHAnsi"/>
          <w:sz w:val="24"/>
          <w:szCs w:val="24"/>
          <w:lang w:eastAsia="en-ZA"/>
        </w:rPr>
      </w:pPr>
      <w:r w:rsidRPr="008E65C6">
        <w:rPr>
          <w:rFonts w:eastAsia="Times New Roman" w:cstheme="minorHAnsi"/>
          <w:sz w:val="24"/>
          <w:szCs w:val="24"/>
          <w:lang w:eastAsia="en-ZA"/>
        </w:rPr>
        <w:t>Standardization among respondents is ensured by this format, which is essential for facilitating consistent analysis across various townships and business categories. Structured tools like questionnaires are especially useful in research settings where quantifiable data is required to measure correlations or support hypotheses, claim Li, Higgins, and Deeks (2019).</w:t>
      </w:r>
      <w:r w:rsidRPr="008E65C6">
        <w:rPr>
          <w:rFonts w:eastAsia="Times New Roman" w:cstheme="minorHAnsi"/>
          <w:sz w:val="24"/>
          <w:szCs w:val="24"/>
          <w:lang w:eastAsia="en-ZA"/>
        </w:rPr>
        <w:br/>
      </w:r>
      <w:r w:rsidRPr="008E65C6">
        <w:rPr>
          <w:rFonts w:eastAsia="Times New Roman" w:cstheme="minorHAnsi"/>
          <w:sz w:val="24"/>
          <w:szCs w:val="24"/>
          <w:lang w:eastAsia="en-ZA"/>
        </w:rPr>
        <w:br/>
        <w:t>The survey will be disseminated both digitally (via Kobo Toolbox or Google Forms) and physically (in person), based on respondents' connectivity and availability of mobile devices. In order to ensure cultural relevance and accessibility for township-based enterprises, the questionnaire will be made available in English, isiZulu, and Sesotho to accommodate linguistic variety.</w:t>
      </w:r>
      <w:r w:rsidRPr="008E65C6">
        <w:rPr>
          <w:rFonts w:eastAsia="Times New Roman" w:cstheme="minorHAnsi"/>
          <w:sz w:val="24"/>
          <w:szCs w:val="24"/>
          <w:lang w:eastAsia="en-ZA"/>
        </w:rPr>
        <w:br/>
      </w:r>
      <w:r w:rsidRPr="008E65C6">
        <w:rPr>
          <w:rFonts w:eastAsia="Times New Roman" w:cstheme="minorHAnsi"/>
          <w:sz w:val="24"/>
          <w:szCs w:val="24"/>
          <w:lang w:eastAsia="en-ZA"/>
        </w:rPr>
        <w:br/>
        <w:t xml:space="preserve">The questionnaire will be pre-tested with ten informal business owners from Dobsonville and Diepsloot in order to guarantee its validity and intelligibility. </w:t>
      </w:r>
      <w:r w:rsidR="00F46F79" w:rsidRPr="00F46F79">
        <w:rPr>
          <w:rFonts w:eastAsia="Times New Roman" w:cstheme="minorHAnsi"/>
          <w:sz w:val="24"/>
          <w:szCs w:val="24"/>
          <w:lang w:eastAsia="en-ZA"/>
        </w:rPr>
        <w:t>Prior to full deployment, feedback from this pilot will be used to improve the questions' structure, applicability, and readability.</w:t>
      </w:r>
    </w:p>
    <w:p w14:paraId="2984D959" w14:textId="77777777" w:rsidR="00F46F79" w:rsidRPr="00F46F79" w:rsidRDefault="00F46F79" w:rsidP="00F46F79">
      <w:pPr>
        <w:spacing w:after="0" w:line="240" w:lineRule="auto"/>
        <w:rPr>
          <w:rFonts w:eastAsia="Times New Roman" w:cstheme="minorHAnsi"/>
          <w:sz w:val="24"/>
          <w:szCs w:val="24"/>
          <w:lang w:eastAsia="en-ZA"/>
        </w:rPr>
      </w:pPr>
    </w:p>
    <w:p w14:paraId="74D93A11" w14:textId="276AD0FE" w:rsidR="00F46F79" w:rsidRPr="00F24EF3" w:rsidRDefault="00F46F79" w:rsidP="00F46F79">
      <w:pPr>
        <w:spacing w:after="0" w:line="240" w:lineRule="auto"/>
        <w:rPr>
          <w:rFonts w:eastAsia="Times New Roman" w:cstheme="minorHAnsi"/>
          <w:b/>
          <w:bCs/>
          <w:sz w:val="24"/>
          <w:szCs w:val="24"/>
          <w:lang w:eastAsia="en-ZA"/>
        </w:rPr>
      </w:pPr>
      <w:r w:rsidRPr="00F46F79">
        <w:rPr>
          <w:rFonts w:eastAsia="Times New Roman" w:cstheme="minorHAnsi"/>
          <w:b/>
          <w:bCs/>
          <w:sz w:val="24"/>
          <w:szCs w:val="24"/>
          <w:lang w:eastAsia="en-ZA"/>
        </w:rPr>
        <w:t>This approach is recommended for a number of reasons:</w:t>
      </w:r>
    </w:p>
    <w:p w14:paraId="4756D1C1" w14:textId="7B55D8CB" w:rsidR="00F46F79" w:rsidRPr="00F24EF3" w:rsidRDefault="00F46F79" w:rsidP="00F46F79">
      <w:pPr>
        <w:pStyle w:val="ListParagraph"/>
        <w:numPr>
          <w:ilvl w:val="0"/>
          <w:numId w:val="13"/>
        </w:numPr>
        <w:spacing w:after="0" w:line="240" w:lineRule="auto"/>
        <w:rPr>
          <w:rFonts w:eastAsia="Times New Roman" w:cstheme="minorHAnsi"/>
          <w:sz w:val="24"/>
          <w:szCs w:val="24"/>
          <w:lang w:eastAsia="en-ZA"/>
        </w:rPr>
      </w:pPr>
      <w:r w:rsidRPr="00F46F79">
        <w:rPr>
          <w:rFonts w:eastAsia="Times New Roman" w:cstheme="minorHAnsi"/>
          <w:sz w:val="24"/>
          <w:szCs w:val="24"/>
          <w:lang w:eastAsia="en-ZA"/>
        </w:rPr>
        <w:t>Because each participant answers the identical set of questions, it lessens interviewer bias.</w:t>
      </w:r>
    </w:p>
    <w:p w14:paraId="374F6999" w14:textId="01408AC6" w:rsidR="00F46F79" w:rsidRPr="00F24EF3" w:rsidRDefault="00F46F79" w:rsidP="00F46F79">
      <w:pPr>
        <w:pStyle w:val="ListParagraph"/>
        <w:numPr>
          <w:ilvl w:val="0"/>
          <w:numId w:val="13"/>
        </w:numPr>
        <w:spacing w:after="0" w:line="240" w:lineRule="auto"/>
        <w:rPr>
          <w:rFonts w:eastAsia="Times New Roman" w:cstheme="minorHAnsi"/>
          <w:sz w:val="24"/>
          <w:szCs w:val="24"/>
          <w:lang w:eastAsia="en-ZA"/>
        </w:rPr>
      </w:pPr>
      <w:r w:rsidRPr="00F46F79">
        <w:rPr>
          <w:rFonts w:eastAsia="Times New Roman" w:cstheme="minorHAnsi"/>
          <w:sz w:val="24"/>
          <w:szCs w:val="24"/>
          <w:lang w:eastAsia="en-ZA"/>
        </w:rPr>
        <w:t>It supports statistical methods like regression analysis and correlation by enabling large-scale data aggregation.</w:t>
      </w:r>
    </w:p>
    <w:p w14:paraId="29FAEEA0" w14:textId="3719EF35" w:rsidR="00F46F79" w:rsidRPr="00F46F79" w:rsidRDefault="00F46F79" w:rsidP="00F46F79">
      <w:pPr>
        <w:pStyle w:val="ListParagraph"/>
        <w:numPr>
          <w:ilvl w:val="0"/>
          <w:numId w:val="13"/>
        </w:numPr>
        <w:spacing w:after="0" w:line="240" w:lineRule="auto"/>
        <w:rPr>
          <w:rFonts w:eastAsia="Times New Roman" w:cstheme="minorHAnsi"/>
          <w:sz w:val="24"/>
          <w:szCs w:val="24"/>
          <w:lang w:eastAsia="en-ZA"/>
        </w:rPr>
      </w:pPr>
      <w:r w:rsidRPr="00F46F79">
        <w:rPr>
          <w:rFonts w:eastAsia="Times New Roman" w:cstheme="minorHAnsi"/>
          <w:sz w:val="24"/>
          <w:szCs w:val="24"/>
          <w:lang w:eastAsia="en-ZA"/>
        </w:rPr>
        <w:t>It improves comparability by guaranteeing consistency across various locales and response profiles.</w:t>
      </w:r>
    </w:p>
    <w:p w14:paraId="78FAA702" w14:textId="77777777" w:rsidR="00F46F79" w:rsidRPr="00F46F79" w:rsidRDefault="00F46F79" w:rsidP="00F46F79">
      <w:pPr>
        <w:spacing w:after="0" w:line="240" w:lineRule="auto"/>
        <w:rPr>
          <w:rFonts w:eastAsia="Times New Roman" w:cstheme="minorHAnsi"/>
          <w:sz w:val="24"/>
          <w:szCs w:val="24"/>
          <w:lang w:eastAsia="en-ZA"/>
        </w:rPr>
      </w:pPr>
    </w:p>
    <w:p w14:paraId="08870B44" w14:textId="1AA13EBA" w:rsidR="008E65C6" w:rsidRPr="008E65C6" w:rsidRDefault="00F46F79" w:rsidP="00F46F79">
      <w:pPr>
        <w:spacing w:after="0" w:line="240" w:lineRule="auto"/>
        <w:rPr>
          <w:rFonts w:eastAsia="Times New Roman" w:cstheme="minorHAnsi"/>
          <w:sz w:val="24"/>
          <w:szCs w:val="24"/>
          <w:lang w:eastAsia="en-ZA"/>
        </w:rPr>
      </w:pPr>
      <w:r w:rsidRPr="00F46F79">
        <w:rPr>
          <w:rFonts w:eastAsia="Times New Roman" w:cstheme="minorHAnsi"/>
          <w:sz w:val="24"/>
          <w:szCs w:val="24"/>
          <w:lang w:eastAsia="en-ZA"/>
        </w:rPr>
        <w:t>The researcher hopes to evaluate the association between digital financial literacy and financial results among informal entrepreneurs by using this approach to provide data that is valid, dependable, and reproducible.</w:t>
      </w:r>
    </w:p>
    <w:p w14:paraId="59D06DCA" w14:textId="77777777" w:rsidR="008E65C6" w:rsidRPr="00C953EC" w:rsidRDefault="008E65C6" w:rsidP="00C953EC">
      <w:pPr>
        <w:rPr>
          <w:lang w:eastAsia="en-ZA"/>
        </w:rPr>
      </w:pPr>
    </w:p>
    <w:p w14:paraId="7758FB26" w14:textId="5FC1F9D9" w:rsidR="0078215E" w:rsidRDefault="0078215E" w:rsidP="0078215E">
      <w:pPr>
        <w:pStyle w:val="Quote"/>
        <w:rPr>
          <w:b/>
          <w:bCs/>
          <w:sz w:val="30"/>
          <w:szCs w:val="30"/>
        </w:rPr>
      </w:pPr>
      <w:r w:rsidRPr="0078215E">
        <w:rPr>
          <w:b/>
          <w:bCs/>
          <w:sz w:val="30"/>
          <w:szCs w:val="30"/>
        </w:rPr>
        <w:t>Data Analysis Method</w:t>
      </w:r>
    </w:p>
    <w:p w14:paraId="53C37C45" w14:textId="5E6227C9" w:rsidR="00254E09" w:rsidRDefault="003111D1" w:rsidP="003111D1">
      <w:pPr>
        <w:spacing w:after="240" w:line="240" w:lineRule="auto"/>
        <w:rPr>
          <w:rFonts w:eastAsia="Times New Roman" w:cstheme="minorHAnsi"/>
          <w:sz w:val="24"/>
          <w:szCs w:val="24"/>
          <w:lang w:eastAsia="en-ZA"/>
        </w:rPr>
      </w:pPr>
      <w:r w:rsidRPr="003111D1">
        <w:rPr>
          <w:rFonts w:eastAsia="Times New Roman" w:cstheme="minorHAnsi"/>
          <w:sz w:val="24"/>
          <w:szCs w:val="24"/>
          <w:lang w:eastAsia="en-ZA"/>
        </w:rPr>
        <w:t>The data gathered from informal township entrepreneurs through structured questionnaires will be analy</w:t>
      </w:r>
      <w:r w:rsidR="00254E09">
        <w:rPr>
          <w:rFonts w:eastAsia="Times New Roman" w:cstheme="minorHAnsi"/>
          <w:sz w:val="24"/>
          <w:szCs w:val="24"/>
          <w:lang w:eastAsia="en-ZA"/>
        </w:rPr>
        <w:t>s</w:t>
      </w:r>
      <w:r w:rsidRPr="003111D1">
        <w:rPr>
          <w:rFonts w:eastAsia="Times New Roman" w:cstheme="minorHAnsi"/>
          <w:sz w:val="24"/>
          <w:szCs w:val="24"/>
          <w:lang w:eastAsia="en-ZA"/>
        </w:rPr>
        <w:t>ed using quantitative statistical techniques. The positivist worldview, which prioritizes objectivity, quantifiable results, and prediction based on observed phenomena, is in line with this strategy (Thomson and Emery, 2024).</w:t>
      </w:r>
      <w:r w:rsidRPr="003111D1">
        <w:rPr>
          <w:rFonts w:eastAsia="Times New Roman" w:cstheme="minorHAnsi"/>
          <w:sz w:val="24"/>
          <w:szCs w:val="24"/>
          <w:lang w:eastAsia="en-ZA"/>
        </w:rPr>
        <w:br/>
      </w:r>
      <w:r w:rsidRPr="003111D1">
        <w:rPr>
          <w:rFonts w:eastAsia="Times New Roman" w:cstheme="minorHAnsi"/>
          <w:sz w:val="24"/>
          <w:szCs w:val="24"/>
          <w:lang w:eastAsia="en-ZA"/>
        </w:rPr>
        <w:br/>
      </w:r>
      <w:r w:rsidRPr="003111D1">
        <w:rPr>
          <w:rFonts w:eastAsia="Times New Roman" w:cstheme="minorHAnsi"/>
          <w:b/>
          <w:bCs/>
          <w:sz w:val="24"/>
          <w:szCs w:val="24"/>
          <w:lang w:eastAsia="en-ZA"/>
        </w:rPr>
        <w:t>We'll employ three main techniques:</w:t>
      </w:r>
    </w:p>
    <w:p w14:paraId="3887C1E9" w14:textId="77777777" w:rsidR="00254E09" w:rsidRDefault="003111D1" w:rsidP="00254E09">
      <w:pPr>
        <w:pStyle w:val="ListParagraph"/>
        <w:numPr>
          <w:ilvl w:val="0"/>
          <w:numId w:val="14"/>
        </w:numPr>
        <w:spacing w:after="240" w:line="240" w:lineRule="auto"/>
        <w:rPr>
          <w:rFonts w:eastAsia="Times New Roman" w:cstheme="minorHAnsi"/>
          <w:sz w:val="24"/>
          <w:szCs w:val="24"/>
          <w:lang w:eastAsia="en-ZA"/>
        </w:rPr>
      </w:pPr>
      <w:r w:rsidRPr="00254E09">
        <w:rPr>
          <w:rFonts w:eastAsia="Times New Roman" w:cstheme="minorHAnsi"/>
          <w:sz w:val="24"/>
          <w:szCs w:val="24"/>
          <w:lang w:eastAsia="en-ZA"/>
        </w:rPr>
        <w:t>Measures like mean, mode, and standard deviation are examples of descriptive statistics that are used to characterize digital activity (e.g., frequency of tool usage) and demographic data (e.g., age, business type).</w:t>
      </w:r>
    </w:p>
    <w:p w14:paraId="54308D61" w14:textId="120A8472" w:rsidR="003111D1" w:rsidRPr="00254E09" w:rsidRDefault="003111D1" w:rsidP="00254E09">
      <w:pPr>
        <w:pStyle w:val="ListParagraph"/>
        <w:numPr>
          <w:ilvl w:val="0"/>
          <w:numId w:val="14"/>
        </w:numPr>
        <w:spacing w:after="240" w:line="240" w:lineRule="auto"/>
        <w:rPr>
          <w:rFonts w:eastAsia="Times New Roman" w:cstheme="minorHAnsi"/>
          <w:sz w:val="24"/>
          <w:szCs w:val="24"/>
          <w:lang w:eastAsia="en-ZA"/>
        </w:rPr>
      </w:pPr>
      <w:r w:rsidRPr="00254E09">
        <w:rPr>
          <w:rFonts w:eastAsia="Times New Roman" w:cstheme="minorHAnsi"/>
          <w:sz w:val="24"/>
          <w:szCs w:val="24"/>
          <w:lang w:eastAsia="en-ZA"/>
        </w:rPr>
        <w:t>Using Pearson's r, correlation analysis is used to determine the direction and intensity of the links between digital financial literacy and important business outcomes including savings, budgeting, and income stability.</w:t>
      </w:r>
    </w:p>
    <w:p w14:paraId="76590AF6" w14:textId="769D3A56" w:rsidR="00254E09" w:rsidRDefault="00254E09" w:rsidP="00254E09">
      <w:pPr>
        <w:pStyle w:val="ListParagraph"/>
        <w:numPr>
          <w:ilvl w:val="0"/>
          <w:numId w:val="14"/>
        </w:numPr>
        <w:spacing w:after="0" w:line="240" w:lineRule="auto"/>
        <w:rPr>
          <w:rFonts w:eastAsia="Times New Roman" w:cstheme="minorHAnsi"/>
          <w:sz w:val="24"/>
          <w:szCs w:val="24"/>
          <w:lang w:eastAsia="en-ZA"/>
        </w:rPr>
      </w:pPr>
      <w:r w:rsidRPr="00254E09">
        <w:rPr>
          <w:rFonts w:eastAsia="Times New Roman" w:cstheme="minorHAnsi"/>
          <w:sz w:val="24"/>
          <w:szCs w:val="24"/>
          <w:lang w:eastAsia="en-ZA"/>
        </w:rPr>
        <w:t>When correlation is significant, linear regression analysis is used to assess how well digital financial literacy predicts financial indicators such as reinvestment levels or firm expansion.</w:t>
      </w:r>
    </w:p>
    <w:p w14:paraId="08D3D9CD" w14:textId="77777777" w:rsidR="00254E09" w:rsidRDefault="00254E09" w:rsidP="00254E09">
      <w:pPr>
        <w:pStyle w:val="ListParagraph"/>
        <w:spacing w:after="0" w:line="240" w:lineRule="auto"/>
        <w:rPr>
          <w:rFonts w:eastAsia="Times New Roman" w:cstheme="minorHAnsi"/>
          <w:sz w:val="24"/>
          <w:szCs w:val="24"/>
          <w:lang w:eastAsia="en-ZA"/>
        </w:rPr>
      </w:pPr>
    </w:p>
    <w:p w14:paraId="0955EC11" w14:textId="01CCA02A" w:rsidR="003111D1" w:rsidRDefault="00254E09" w:rsidP="003111D1">
      <w:pPr>
        <w:spacing w:after="0" w:line="240" w:lineRule="auto"/>
        <w:rPr>
          <w:rFonts w:eastAsia="Times New Roman" w:cstheme="minorHAnsi"/>
          <w:sz w:val="24"/>
          <w:szCs w:val="24"/>
          <w:lang w:eastAsia="en-ZA"/>
        </w:rPr>
      </w:pPr>
      <w:r w:rsidRPr="00254E09">
        <w:rPr>
          <w:rFonts w:eastAsia="Times New Roman" w:cstheme="minorHAnsi"/>
          <w:sz w:val="24"/>
          <w:szCs w:val="24"/>
          <w:lang w:eastAsia="en-ZA"/>
        </w:rPr>
        <w:t>By supporting hypothesis testing and establishing the causal relationship between digital literacy and entrepreneurial performance, this multi-layered approach facilitates both exploratory and inferential analysis. While regression offers the ability to forecast future trends based on independent variables, correlation analysis is crucial to determining whether relationships exist (Washington et al., 2020).</w:t>
      </w:r>
      <w:r w:rsidRPr="00254E09">
        <w:rPr>
          <w:rFonts w:eastAsia="Times New Roman" w:cstheme="minorHAnsi"/>
          <w:sz w:val="24"/>
          <w:szCs w:val="24"/>
          <w:lang w:eastAsia="en-ZA"/>
        </w:rPr>
        <w:br/>
      </w:r>
      <w:r w:rsidRPr="00254E09">
        <w:rPr>
          <w:rFonts w:eastAsia="Times New Roman" w:cstheme="minorHAnsi"/>
          <w:sz w:val="24"/>
          <w:szCs w:val="24"/>
          <w:lang w:eastAsia="en-ZA"/>
        </w:rPr>
        <w:br/>
        <w:t>Microsoft Excel and SPSS will be used as software tools for this study. Whereas Excel facilitates simple data summarization and visualization through graphs, charts, and tables, SPSS provides powerful regression model</w:t>
      </w:r>
      <w:r w:rsidRPr="00254E09">
        <w:rPr>
          <w:rFonts w:eastAsia="Times New Roman" w:cstheme="minorHAnsi"/>
          <w:sz w:val="24"/>
          <w:szCs w:val="24"/>
          <w:lang w:eastAsia="en-ZA"/>
        </w:rPr>
        <w:t>l</w:t>
      </w:r>
      <w:r w:rsidRPr="00254E09">
        <w:rPr>
          <w:rFonts w:eastAsia="Times New Roman" w:cstheme="minorHAnsi"/>
          <w:sz w:val="24"/>
          <w:szCs w:val="24"/>
          <w:lang w:eastAsia="en-ZA"/>
        </w:rPr>
        <w:t>ing capabilities. Both applications are user-friendly and appropriate for medium-sized datasets, which are common in investigations involving stratified field sampling.</w:t>
      </w:r>
      <w:r>
        <w:rPr>
          <w:rFonts w:eastAsia="Times New Roman" w:cstheme="minorHAnsi"/>
          <w:sz w:val="24"/>
          <w:szCs w:val="24"/>
          <w:lang w:eastAsia="en-ZA"/>
        </w:rPr>
        <w:t xml:space="preserve"> </w:t>
      </w:r>
      <w:r w:rsidRPr="00254E09">
        <w:rPr>
          <w:rFonts w:eastAsia="Times New Roman" w:cstheme="minorHAnsi"/>
          <w:sz w:val="24"/>
          <w:szCs w:val="24"/>
          <w:lang w:eastAsia="en-ZA"/>
        </w:rPr>
        <w:t>The necessity to provide results that are generalizable serves as the justification for employing these analysis methodologies. The research findings can help government agencies, financial institutions, and non-governmental organizations (NGOs) that encourage digital inclusion and literacy in township economies make evidence-based decisions by quantifying relationships.</w:t>
      </w:r>
      <w:r w:rsidRPr="00254E09">
        <w:rPr>
          <w:rFonts w:eastAsia="Times New Roman" w:cstheme="minorHAnsi"/>
          <w:sz w:val="24"/>
          <w:szCs w:val="24"/>
          <w:lang w:eastAsia="en-ZA"/>
        </w:rPr>
        <w:br/>
      </w:r>
      <w:r w:rsidRPr="00254E09">
        <w:rPr>
          <w:rFonts w:eastAsia="Times New Roman" w:cstheme="minorHAnsi"/>
          <w:sz w:val="24"/>
          <w:szCs w:val="24"/>
          <w:lang w:eastAsia="en-ZA"/>
        </w:rPr>
        <w:br/>
        <w:t>Additionally, by comparing, for example, the influence of digital tools on spaza shops and mobile salons, these techniques enable the effective management of subgroup analysis. This strengthens the study's external validity by giving the final interpretation of the results more depth and complexity (Thomson and Emery, 2024).</w:t>
      </w:r>
    </w:p>
    <w:p w14:paraId="22290E67" w14:textId="565FABB3" w:rsidR="00F24EF3" w:rsidRPr="00F24EF3" w:rsidRDefault="00F24EF3" w:rsidP="00F24EF3">
      <w:pPr>
        <w:pStyle w:val="Quote"/>
        <w:rPr>
          <w:sz w:val="26"/>
          <w:szCs w:val="26"/>
          <w:lang w:eastAsia="en-ZA"/>
        </w:rPr>
      </w:pPr>
      <w:r w:rsidRPr="00F24EF3">
        <w:rPr>
          <w:sz w:val="26"/>
          <w:szCs w:val="26"/>
          <w:lang w:eastAsia="en-ZA"/>
        </w:rPr>
        <w:t>This assignment strengthens theoretical understanding and develops practical skills in applied ICT research by analy</w:t>
      </w:r>
      <w:r w:rsidRPr="00F24EF3">
        <w:rPr>
          <w:sz w:val="26"/>
          <w:szCs w:val="26"/>
          <w:lang w:eastAsia="en-ZA"/>
        </w:rPr>
        <w:t>s</w:t>
      </w:r>
      <w:r w:rsidRPr="00F24EF3">
        <w:rPr>
          <w:sz w:val="26"/>
          <w:szCs w:val="26"/>
          <w:lang w:eastAsia="en-ZA"/>
        </w:rPr>
        <w:t>ing scholarly material and developing innovative research strategies. The emphasis on township e-commerce platforms, mobile communication (WhatsApp), and digital financial instruments guarantees that the activity is future-oriented, socially relevant, and in line with national development aspirations.</w:t>
      </w:r>
    </w:p>
    <w:p w14:paraId="7345B161" w14:textId="06A73CB6" w:rsidR="0014696E" w:rsidRDefault="0014696E" w:rsidP="0014696E">
      <w:pPr>
        <w:pStyle w:val="IntenseQuote"/>
        <w:rPr>
          <w:b/>
          <w:bCs/>
          <w:sz w:val="28"/>
          <w:szCs w:val="28"/>
        </w:rPr>
      </w:pPr>
      <w:r w:rsidRPr="0014696E">
        <w:rPr>
          <w:b/>
          <w:bCs/>
          <w:sz w:val="28"/>
          <w:szCs w:val="28"/>
        </w:rPr>
        <w:t>Reference List</w:t>
      </w:r>
    </w:p>
    <w:p w14:paraId="52881164" w14:textId="3DEDD069" w:rsidR="0014696E" w:rsidRDefault="0014696E" w:rsidP="0014696E">
      <w:pPr>
        <w:pStyle w:val="NormalWeb"/>
        <w:numPr>
          <w:ilvl w:val="0"/>
          <w:numId w:val="1"/>
        </w:numPr>
        <w:rPr>
          <w:rFonts w:asciiTheme="minorHAnsi" w:hAnsiTheme="minorHAnsi" w:cstheme="minorHAnsi"/>
        </w:rPr>
      </w:pPr>
      <w:r w:rsidRPr="0014696E">
        <w:rPr>
          <w:rFonts w:asciiTheme="minorHAnsi" w:hAnsiTheme="minorHAnsi" w:cstheme="minorHAnsi"/>
        </w:rPr>
        <w:t xml:space="preserve">Adu, E.O. and Badaru, K.A., 2020. University students’ media use and political participation in South Africa. </w:t>
      </w:r>
      <w:r w:rsidRPr="0014696E">
        <w:rPr>
          <w:rStyle w:val="Emphasis"/>
          <w:rFonts w:asciiTheme="minorHAnsi" w:hAnsiTheme="minorHAnsi" w:cstheme="minorHAnsi"/>
        </w:rPr>
        <w:t>South African Journal of Higher Education</w:t>
      </w:r>
      <w:r w:rsidRPr="0014696E">
        <w:rPr>
          <w:rFonts w:asciiTheme="minorHAnsi" w:hAnsiTheme="minorHAnsi" w:cstheme="minorHAnsi"/>
        </w:rPr>
        <w:t xml:space="preserve">, 34(1), pp.18–36. Available at: </w:t>
      </w:r>
      <w:hyperlink r:id="rId5" w:history="1">
        <w:r w:rsidRPr="00394416">
          <w:rPr>
            <w:rStyle w:val="Hyperlink"/>
            <w:rFonts w:asciiTheme="minorHAnsi" w:hAnsiTheme="minorHAnsi" w:cstheme="minorHAnsi"/>
          </w:rPr>
          <w:t>https://ezproxy.ilearn.ac.za/login?url=https://search.ebscohost.com/login.aspx?direct=true&amp;db=eue&amp;AN=142603653&amp;site=ehost-live&amp;scope=sit</w:t>
        </w:r>
        <w:r w:rsidRPr="00394416">
          <w:rPr>
            <w:rStyle w:val="Hyperlink"/>
            <w:rFonts w:asciiTheme="minorHAnsi" w:hAnsiTheme="minorHAnsi" w:cstheme="minorHAnsi"/>
          </w:rPr>
          <w:t>e</w:t>
        </w:r>
      </w:hyperlink>
      <w:r>
        <w:rPr>
          <w:rFonts w:asciiTheme="minorHAnsi" w:hAnsiTheme="minorHAnsi" w:cstheme="minorHAnsi"/>
        </w:rPr>
        <w:t xml:space="preserve"> </w:t>
      </w:r>
      <w:r w:rsidRPr="0014696E">
        <w:rPr>
          <w:rFonts w:asciiTheme="minorHAnsi" w:hAnsiTheme="minorHAnsi" w:cstheme="minorHAnsi"/>
        </w:rPr>
        <w:t>[Accessed 1 February 2024].</w:t>
      </w:r>
    </w:p>
    <w:p w14:paraId="10F0B5AD" w14:textId="0DECC328" w:rsidR="00F46F79" w:rsidRPr="00F46F79" w:rsidRDefault="00F46F79" w:rsidP="00F46F79">
      <w:pPr>
        <w:pStyle w:val="NormalWeb"/>
        <w:numPr>
          <w:ilvl w:val="0"/>
          <w:numId w:val="1"/>
        </w:numPr>
        <w:rPr>
          <w:rFonts w:asciiTheme="minorHAnsi" w:hAnsiTheme="minorHAnsi" w:cstheme="minorHAnsi"/>
        </w:rPr>
      </w:pPr>
      <w:r w:rsidRPr="00F46F79">
        <w:rPr>
          <w:rFonts w:asciiTheme="minorHAnsi" w:hAnsiTheme="minorHAnsi" w:cstheme="minorHAnsi"/>
        </w:rPr>
        <w:t xml:space="preserve">Berndt, A.E. (2020) 'Sampling methods', Journal of Human Lactation, [online] Available at: </w:t>
      </w:r>
      <w:hyperlink r:id="rId6" w:history="1">
        <w:r w:rsidRPr="00394416">
          <w:rPr>
            <w:rStyle w:val="Hyperlink"/>
            <w:rFonts w:asciiTheme="minorHAnsi" w:hAnsiTheme="minorHAnsi" w:cstheme="minorHAnsi"/>
          </w:rPr>
          <w:t>https://journals.sagepub.com</w:t>
        </w:r>
      </w:hyperlink>
      <w:r>
        <w:rPr>
          <w:rFonts w:asciiTheme="minorHAnsi" w:hAnsiTheme="minorHAnsi" w:cstheme="minorHAnsi"/>
        </w:rPr>
        <w:t xml:space="preserve"> </w:t>
      </w:r>
      <w:r w:rsidRPr="00F46F79">
        <w:rPr>
          <w:rFonts w:asciiTheme="minorHAnsi" w:hAnsiTheme="minorHAnsi" w:cstheme="minorHAnsi"/>
        </w:rPr>
        <w:t>[Accessed 18 June 2025].</w:t>
      </w:r>
    </w:p>
    <w:p w14:paraId="67611B1E" w14:textId="1CF5F0CC" w:rsidR="00F46F79" w:rsidRPr="0014696E" w:rsidRDefault="00F46F79" w:rsidP="00F46F79">
      <w:pPr>
        <w:pStyle w:val="NormalWeb"/>
        <w:numPr>
          <w:ilvl w:val="0"/>
          <w:numId w:val="1"/>
        </w:numPr>
        <w:rPr>
          <w:rFonts w:asciiTheme="minorHAnsi" w:hAnsiTheme="minorHAnsi" w:cstheme="minorHAnsi"/>
        </w:rPr>
      </w:pPr>
      <w:r w:rsidRPr="00F46F79">
        <w:rPr>
          <w:rFonts w:asciiTheme="minorHAnsi" w:hAnsiTheme="minorHAnsi" w:cstheme="minorHAnsi"/>
        </w:rPr>
        <w:t xml:space="preserve">Makwana, D., Engineer, P. and Dabhi, A. (2023) Sampling methods in research: A review, International Journal of Trend in Scientific Research and Development, [online] Available at: </w:t>
      </w:r>
      <w:hyperlink r:id="rId7" w:history="1">
        <w:r w:rsidRPr="00394416">
          <w:rPr>
            <w:rStyle w:val="Hyperlink"/>
            <w:rFonts w:asciiTheme="minorHAnsi" w:hAnsiTheme="minorHAnsi" w:cstheme="minorHAnsi"/>
          </w:rPr>
          <w:t>https://www.researchgate.net</w:t>
        </w:r>
      </w:hyperlink>
      <w:r>
        <w:rPr>
          <w:rFonts w:asciiTheme="minorHAnsi" w:hAnsiTheme="minorHAnsi" w:cstheme="minorHAnsi"/>
        </w:rPr>
        <w:t xml:space="preserve"> </w:t>
      </w:r>
      <w:r w:rsidRPr="00F46F79">
        <w:rPr>
          <w:rFonts w:asciiTheme="minorHAnsi" w:hAnsiTheme="minorHAnsi" w:cstheme="minorHAnsi"/>
        </w:rPr>
        <w:t>[Accessed 18 June 2025].</w:t>
      </w:r>
    </w:p>
    <w:p w14:paraId="4910141A" w14:textId="2E6E19BB" w:rsidR="0014696E" w:rsidRPr="0014696E" w:rsidRDefault="0014696E" w:rsidP="0014696E">
      <w:pPr>
        <w:pStyle w:val="NormalWeb"/>
        <w:numPr>
          <w:ilvl w:val="0"/>
          <w:numId w:val="1"/>
        </w:numPr>
        <w:rPr>
          <w:rFonts w:asciiTheme="minorHAnsi" w:hAnsiTheme="minorHAnsi" w:cstheme="minorHAnsi"/>
        </w:rPr>
      </w:pPr>
      <w:r w:rsidRPr="0014696E">
        <w:rPr>
          <w:rFonts w:asciiTheme="minorHAnsi" w:hAnsiTheme="minorHAnsi" w:cstheme="minorHAnsi"/>
        </w:rPr>
        <w:t xml:space="preserve">Dlamini, S. and Chinje, N.B., 2019. The influence of loyalty programs on South African Youth’s repeat purchase behaviour. </w:t>
      </w:r>
      <w:r w:rsidRPr="0014696E">
        <w:rPr>
          <w:rStyle w:val="Emphasis"/>
          <w:rFonts w:asciiTheme="minorHAnsi" w:hAnsiTheme="minorHAnsi" w:cstheme="minorHAnsi"/>
        </w:rPr>
        <w:t>Journal of Business and Retail Management Research</w:t>
      </w:r>
      <w:r w:rsidRPr="0014696E">
        <w:rPr>
          <w:rFonts w:asciiTheme="minorHAnsi" w:hAnsiTheme="minorHAnsi" w:cstheme="minorHAnsi"/>
        </w:rPr>
        <w:t xml:space="preserve">, 13(3). Available at: </w:t>
      </w:r>
      <w:hyperlink r:id="rId8" w:history="1">
        <w:r w:rsidRPr="00394416">
          <w:rPr>
            <w:rStyle w:val="Hyperlink"/>
            <w:rFonts w:asciiTheme="minorHAnsi" w:hAnsiTheme="minorHAnsi" w:cstheme="minorHAnsi"/>
          </w:rPr>
          <w:t>https://doi.org/10.24052/JBRMR/V13I03/ART-21</w:t>
        </w:r>
      </w:hyperlink>
      <w:r>
        <w:rPr>
          <w:rFonts w:asciiTheme="minorHAnsi" w:hAnsiTheme="minorHAnsi" w:cstheme="minorHAnsi"/>
        </w:rPr>
        <w:t xml:space="preserve"> </w:t>
      </w:r>
      <w:r w:rsidRPr="0014696E">
        <w:rPr>
          <w:rFonts w:asciiTheme="minorHAnsi" w:hAnsiTheme="minorHAnsi" w:cstheme="minorHAnsi"/>
        </w:rPr>
        <w:t>[Accessed 1 February 2024].</w:t>
      </w:r>
    </w:p>
    <w:p w14:paraId="5361B401" w14:textId="60E39CA0" w:rsidR="0013620C" w:rsidRDefault="0013620C" w:rsidP="0013620C">
      <w:pPr>
        <w:pStyle w:val="NormalWeb"/>
        <w:numPr>
          <w:ilvl w:val="0"/>
          <w:numId w:val="1"/>
        </w:numPr>
        <w:rPr>
          <w:rFonts w:asciiTheme="minorHAnsi" w:hAnsiTheme="minorHAnsi" w:cstheme="minorHAnsi"/>
        </w:rPr>
      </w:pPr>
      <w:r w:rsidRPr="0013620C">
        <w:rPr>
          <w:rFonts w:asciiTheme="minorHAnsi" w:hAnsiTheme="minorHAnsi" w:cstheme="minorHAnsi"/>
        </w:rPr>
        <w:t>Kulkov, I., Kulkova, J., Rohrbeck, R. and Linstone, H.A., 2024. Artificial intelligence‐driven sustainable development: Examining organizational, technical, and processing approaches to achieving global goals. Sustainable Development, 32(1), pp.75–90.</w:t>
      </w:r>
    </w:p>
    <w:p w14:paraId="540B9FA7" w14:textId="6B9C9BE4" w:rsidR="00F46F79" w:rsidRPr="00F46F79" w:rsidRDefault="00F46F79" w:rsidP="00F46F79">
      <w:pPr>
        <w:pStyle w:val="NormalWeb"/>
        <w:numPr>
          <w:ilvl w:val="0"/>
          <w:numId w:val="1"/>
        </w:numPr>
        <w:rPr>
          <w:rFonts w:asciiTheme="minorHAnsi" w:hAnsiTheme="minorHAnsi" w:cstheme="minorHAnsi"/>
        </w:rPr>
      </w:pPr>
      <w:r w:rsidRPr="00F46F79">
        <w:rPr>
          <w:rFonts w:asciiTheme="minorHAnsi" w:hAnsiTheme="minorHAnsi" w:cstheme="minorHAnsi"/>
        </w:rPr>
        <w:t xml:space="preserve">Li, T., Higgins, J.P.T. and Deeks, J.J. (2019) ‘Collecting data’, </w:t>
      </w:r>
      <w:r w:rsidRPr="00F46F79">
        <w:rPr>
          <w:rStyle w:val="Emphasis"/>
          <w:rFonts w:asciiTheme="minorHAnsi" w:hAnsiTheme="minorHAnsi" w:cstheme="minorHAnsi"/>
        </w:rPr>
        <w:t>Cochrane Handbook for Systematic Reviews of Interventions</w:t>
      </w:r>
      <w:r w:rsidRPr="00F46F79">
        <w:rPr>
          <w:rFonts w:asciiTheme="minorHAnsi" w:hAnsiTheme="minorHAnsi" w:cstheme="minorHAnsi"/>
        </w:rPr>
        <w:t xml:space="preserve">, Wiley Online Library. Available at: </w:t>
      </w:r>
      <w:hyperlink r:id="rId9" w:tgtFrame="_new" w:history="1">
        <w:r w:rsidRPr="00F46F79">
          <w:rPr>
            <w:rStyle w:val="Hyperlink"/>
            <w:rFonts w:asciiTheme="minorHAnsi" w:eastAsiaTheme="majorEastAsia" w:hAnsiTheme="minorHAnsi" w:cstheme="minorHAnsi"/>
          </w:rPr>
          <w:t>https://www.cochrane.org</w:t>
        </w:r>
      </w:hyperlink>
      <w:r w:rsidRPr="00F46F79">
        <w:rPr>
          <w:rFonts w:asciiTheme="minorHAnsi" w:hAnsiTheme="minorHAnsi" w:cstheme="minorHAnsi"/>
        </w:rPr>
        <w:t xml:space="preserve"> [Accessed 18 June 2025].</w:t>
      </w:r>
    </w:p>
    <w:p w14:paraId="16FC8D27" w14:textId="686B079C" w:rsidR="00F46F79" w:rsidRPr="00F46F79" w:rsidRDefault="00F46F79" w:rsidP="00F46F79">
      <w:pPr>
        <w:pStyle w:val="NormalWeb"/>
        <w:numPr>
          <w:ilvl w:val="0"/>
          <w:numId w:val="1"/>
        </w:numPr>
        <w:rPr>
          <w:rFonts w:asciiTheme="minorHAnsi" w:hAnsiTheme="minorHAnsi" w:cstheme="minorHAnsi"/>
        </w:rPr>
      </w:pPr>
      <w:r w:rsidRPr="00F46F79">
        <w:rPr>
          <w:rFonts w:asciiTheme="minorHAnsi" w:hAnsiTheme="minorHAnsi" w:cstheme="minorHAnsi"/>
        </w:rPr>
        <w:t xml:space="preserve">Taherdoost, H. (2021) ‘Data collection methods and tools for research; a step-by-step guide to choose data collection technique for academic and business research projects’, </w:t>
      </w:r>
      <w:r w:rsidRPr="00F46F79">
        <w:rPr>
          <w:rStyle w:val="Emphasis"/>
          <w:rFonts w:asciiTheme="minorHAnsi" w:hAnsiTheme="minorHAnsi" w:cstheme="minorHAnsi"/>
        </w:rPr>
        <w:t>International Journal of Academic Research in Management</w:t>
      </w:r>
      <w:r w:rsidRPr="00F46F79">
        <w:rPr>
          <w:rFonts w:asciiTheme="minorHAnsi" w:hAnsiTheme="minorHAnsi" w:cstheme="minorHAnsi"/>
        </w:rPr>
        <w:t xml:space="preserve">, [online] hal.science. Available at: </w:t>
      </w:r>
      <w:hyperlink r:id="rId10" w:tgtFrame="_new" w:history="1">
        <w:r w:rsidRPr="00F46F79">
          <w:rPr>
            <w:rStyle w:val="Hyperlink"/>
            <w:rFonts w:asciiTheme="minorHAnsi" w:eastAsiaTheme="majorEastAsia" w:hAnsiTheme="minorHAnsi" w:cstheme="minorHAnsi"/>
          </w:rPr>
          <w:t>https://hal.science</w:t>
        </w:r>
      </w:hyperlink>
      <w:r w:rsidRPr="00F46F79">
        <w:rPr>
          <w:rFonts w:asciiTheme="minorHAnsi" w:hAnsiTheme="minorHAnsi" w:cstheme="minorHAnsi"/>
        </w:rPr>
        <w:t xml:space="preserve"> [Accessed 18 June 2025].</w:t>
      </w:r>
    </w:p>
    <w:p w14:paraId="61CA0A77" w14:textId="4FFE109A" w:rsidR="0013620C" w:rsidRPr="0013620C" w:rsidRDefault="0013620C" w:rsidP="0013620C">
      <w:pPr>
        <w:pStyle w:val="NormalWeb"/>
        <w:numPr>
          <w:ilvl w:val="0"/>
          <w:numId w:val="1"/>
        </w:numPr>
        <w:rPr>
          <w:rFonts w:asciiTheme="minorHAnsi" w:hAnsiTheme="minorHAnsi" w:cstheme="minorHAnsi"/>
        </w:rPr>
      </w:pPr>
      <w:r w:rsidRPr="0014696E">
        <w:rPr>
          <w:rFonts w:asciiTheme="minorHAnsi" w:hAnsiTheme="minorHAnsi" w:cstheme="minorHAnsi"/>
        </w:rPr>
        <w:t xml:space="preserve">Makola, Z. and Ntoyanto-Tyatyanstsi, N., 2023. Postgraduate students’ experiences with research ethics: A South African perspective. </w:t>
      </w:r>
      <w:r w:rsidRPr="0014696E">
        <w:rPr>
          <w:rStyle w:val="Emphasis"/>
          <w:rFonts w:asciiTheme="minorHAnsi" w:hAnsiTheme="minorHAnsi" w:cstheme="minorHAnsi"/>
        </w:rPr>
        <w:t>Journal of Empirical Research on Human Research Ethics</w:t>
      </w:r>
      <w:r w:rsidRPr="0014696E">
        <w:rPr>
          <w:rFonts w:asciiTheme="minorHAnsi" w:hAnsiTheme="minorHAnsi" w:cstheme="minorHAnsi"/>
        </w:rPr>
        <w:t xml:space="preserve">, 18(4), pp.208–217. Available at: </w:t>
      </w:r>
      <w:hyperlink r:id="rId11" w:history="1">
        <w:r w:rsidRPr="00394416">
          <w:rPr>
            <w:rStyle w:val="Hyperlink"/>
            <w:rFonts w:asciiTheme="minorHAnsi" w:hAnsiTheme="minorHAnsi" w:cstheme="minorHAnsi"/>
          </w:rPr>
          <w:t>https://journals.sagepub.com/doi/epub/10.1177/15562646231188004</w:t>
        </w:r>
      </w:hyperlink>
      <w:r>
        <w:rPr>
          <w:rFonts w:asciiTheme="minorHAnsi" w:hAnsiTheme="minorHAnsi" w:cstheme="minorHAnsi"/>
        </w:rPr>
        <w:t xml:space="preserve"> </w:t>
      </w:r>
      <w:r w:rsidRPr="0014696E">
        <w:rPr>
          <w:rFonts w:asciiTheme="minorHAnsi" w:hAnsiTheme="minorHAnsi" w:cstheme="minorHAnsi"/>
        </w:rPr>
        <w:t>[Accessed 1 February 2024].</w:t>
      </w:r>
    </w:p>
    <w:p w14:paraId="44AF764F" w14:textId="6870B139" w:rsidR="0013620C" w:rsidRDefault="0013620C" w:rsidP="0013620C">
      <w:pPr>
        <w:pStyle w:val="NormalWeb"/>
        <w:numPr>
          <w:ilvl w:val="0"/>
          <w:numId w:val="1"/>
        </w:numPr>
        <w:rPr>
          <w:rFonts w:asciiTheme="minorHAnsi" w:hAnsiTheme="minorHAnsi" w:cstheme="minorHAnsi"/>
        </w:rPr>
      </w:pPr>
      <w:r w:rsidRPr="0013620C">
        <w:rPr>
          <w:rFonts w:asciiTheme="minorHAnsi" w:hAnsiTheme="minorHAnsi" w:cstheme="minorHAnsi"/>
        </w:rPr>
        <w:t>Rahim, S., Murshed, M., Umarbeyli, S., Kirikkaleli, D. and Khan, Z., 2021. Do natural resources abundance and human capital development promote economic growth? Resources, Environment and Sustainability, 3, p.100021.</w:t>
      </w:r>
    </w:p>
    <w:p w14:paraId="244B1B53" w14:textId="167FA9D5" w:rsidR="0013620C" w:rsidRDefault="0013620C" w:rsidP="0013620C">
      <w:pPr>
        <w:pStyle w:val="ListParagraph"/>
        <w:numPr>
          <w:ilvl w:val="0"/>
          <w:numId w:val="1"/>
        </w:numPr>
        <w:rPr>
          <w:rFonts w:eastAsia="Times New Roman" w:cstheme="minorHAnsi"/>
          <w:sz w:val="24"/>
          <w:szCs w:val="24"/>
          <w:lang w:eastAsia="en-ZA"/>
        </w:rPr>
      </w:pPr>
      <w:r w:rsidRPr="0013620C">
        <w:rPr>
          <w:rFonts w:eastAsia="Times New Roman" w:cstheme="minorHAnsi"/>
          <w:sz w:val="24"/>
          <w:szCs w:val="24"/>
          <w:lang w:eastAsia="en-ZA"/>
        </w:rPr>
        <w:t>Resnik, D.B., 2020. What is Ethics in Research &amp; Why is it Important? NIEHS. Available at:</w:t>
      </w:r>
      <w:r w:rsidR="008358CA">
        <w:rPr>
          <w:rFonts w:eastAsia="Times New Roman" w:cstheme="minorHAnsi"/>
          <w:sz w:val="24"/>
          <w:szCs w:val="24"/>
          <w:lang w:eastAsia="en-ZA"/>
        </w:rPr>
        <w:t xml:space="preserve"> </w:t>
      </w:r>
      <w:hyperlink r:id="rId12" w:history="1">
        <w:r w:rsidR="003111D1" w:rsidRPr="00C32F1B">
          <w:rPr>
            <w:rStyle w:val="Hyperlink"/>
            <w:rFonts w:eastAsia="Times New Roman" w:cstheme="minorHAnsi"/>
            <w:sz w:val="24"/>
            <w:szCs w:val="24"/>
            <w:lang w:eastAsia="en-ZA"/>
          </w:rPr>
          <w:t>https://www.niehs.nih.gov/research/resources/bioethics/whatis/index.cfm</w:t>
        </w:r>
      </w:hyperlink>
      <w:r>
        <w:rPr>
          <w:rFonts w:eastAsia="Times New Roman" w:cstheme="minorHAnsi"/>
          <w:sz w:val="24"/>
          <w:szCs w:val="24"/>
          <w:lang w:eastAsia="en-ZA"/>
        </w:rPr>
        <w:t xml:space="preserve"> </w:t>
      </w:r>
      <w:r w:rsidRPr="0013620C">
        <w:rPr>
          <w:rFonts w:eastAsia="Times New Roman" w:cstheme="minorHAnsi"/>
          <w:sz w:val="24"/>
          <w:szCs w:val="24"/>
          <w:lang w:eastAsia="en-ZA"/>
        </w:rPr>
        <w:t>[Accessed 14 May 2025].</w:t>
      </w:r>
    </w:p>
    <w:p w14:paraId="45FA52B1" w14:textId="7660B301" w:rsidR="0013620C" w:rsidRPr="008358CA" w:rsidRDefault="0013620C" w:rsidP="0013620C">
      <w:pPr>
        <w:pStyle w:val="ListParagraph"/>
        <w:numPr>
          <w:ilvl w:val="0"/>
          <w:numId w:val="1"/>
        </w:numPr>
        <w:rPr>
          <w:rFonts w:eastAsia="Times New Roman" w:cstheme="minorHAnsi"/>
          <w:sz w:val="24"/>
          <w:szCs w:val="24"/>
          <w:lang w:eastAsia="en-ZA"/>
        </w:rPr>
      </w:pPr>
      <w:r w:rsidRPr="0013620C">
        <w:rPr>
          <w:rFonts w:cstheme="minorHAnsi"/>
          <w:sz w:val="24"/>
          <w:szCs w:val="24"/>
        </w:rPr>
        <w:t>Saunders, M., Lewis, P. and Thornhill, A., 2019. Research Methods for Business Students. 8th ed. Harlow: Pearson Education.</w:t>
      </w:r>
    </w:p>
    <w:p w14:paraId="76C026E5" w14:textId="71B13366" w:rsidR="008358CA" w:rsidRDefault="008358CA" w:rsidP="0013620C">
      <w:pPr>
        <w:pStyle w:val="ListParagraph"/>
        <w:numPr>
          <w:ilvl w:val="0"/>
          <w:numId w:val="1"/>
        </w:numPr>
        <w:rPr>
          <w:rFonts w:eastAsia="Times New Roman" w:cstheme="minorHAnsi"/>
          <w:sz w:val="24"/>
          <w:szCs w:val="24"/>
          <w:lang w:eastAsia="en-ZA"/>
        </w:rPr>
      </w:pPr>
      <w:r w:rsidRPr="008358CA">
        <w:rPr>
          <w:rFonts w:eastAsia="Times New Roman" w:cstheme="minorHAnsi"/>
          <w:sz w:val="24"/>
          <w:szCs w:val="24"/>
          <w:lang w:eastAsia="en-ZA"/>
        </w:rPr>
        <w:t xml:space="preserve">Shawky, S., Kubacki, K., Dietrich, T. and Newton, F. (2019) ‘Using social media to create engagement: A social marketing review’, </w:t>
      </w:r>
      <w:r w:rsidRPr="008358CA">
        <w:rPr>
          <w:rFonts w:eastAsia="Times New Roman" w:cstheme="minorHAnsi"/>
          <w:i/>
          <w:iCs/>
          <w:sz w:val="24"/>
          <w:szCs w:val="24"/>
          <w:lang w:eastAsia="en-ZA"/>
        </w:rPr>
        <w:t>Journal of Social Marketing</w:t>
      </w:r>
      <w:r w:rsidRPr="008358CA">
        <w:rPr>
          <w:rFonts w:eastAsia="Times New Roman" w:cstheme="minorHAnsi"/>
          <w:sz w:val="24"/>
          <w:szCs w:val="24"/>
          <w:lang w:eastAsia="en-ZA"/>
        </w:rPr>
        <w:t xml:space="preserve">, 9(2), pp.204–224. Available at: </w:t>
      </w:r>
      <w:hyperlink r:id="rId13" w:history="1">
        <w:r w:rsidRPr="00C32F1B">
          <w:rPr>
            <w:rStyle w:val="Hyperlink"/>
            <w:rFonts w:eastAsia="Times New Roman" w:cstheme="minorHAnsi"/>
            <w:sz w:val="24"/>
            <w:szCs w:val="24"/>
            <w:lang w:eastAsia="en-ZA"/>
          </w:rPr>
          <w:t>https://www.emerald.com/insight/content/doi/10.1108/JSOCM-05-2018-0056/full/html</w:t>
        </w:r>
      </w:hyperlink>
      <w:r>
        <w:rPr>
          <w:rFonts w:eastAsia="Times New Roman" w:cstheme="minorHAnsi"/>
          <w:sz w:val="24"/>
          <w:szCs w:val="24"/>
          <w:lang w:eastAsia="en-ZA"/>
        </w:rPr>
        <w:t xml:space="preserve"> </w:t>
      </w:r>
      <w:r w:rsidRPr="008358CA">
        <w:rPr>
          <w:rFonts w:eastAsia="Times New Roman" w:cstheme="minorHAnsi"/>
          <w:sz w:val="24"/>
          <w:szCs w:val="24"/>
          <w:lang w:eastAsia="en-ZA"/>
        </w:rPr>
        <w:t>[Accessed 18 June 2025].</w:t>
      </w:r>
    </w:p>
    <w:p w14:paraId="38E0D093" w14:textId="28B7E9EC" w:rsidR="00254E09" w:rsidRPr="00254E09" w:rsidRDefault="00254E09" w:rsidP="00254E09">
      <w:pPr>
        <w:pStyle w:val="ListParagraph"/>
        <w:numPr>
          <w:ilvl w:val="0"/>
          <w:numId w:val="1"/>
        </w:numPr>
        <w:rPr>
          <w:rFonts w:eastAsia="Times New Roman" w:cstheme="minorHAnsi"/>
          <w:sz w:val="24"/>
          <w:szCs w:val="24"/>
          <w:lang w:eastAsia="en-ZA"/>
        </w:rPr>
      </w:pPr>
      <w:r w:rsidRPr="00254E09">
        <w:rPr>
          <w:rFonts w:eastAsia="Times New Roman" w:cstheme="minorHAnsi"/>
          <w:sz w:val="24"/>
          <w:szCs w:val="24"/>
          <w:lang w:eastAsia="en-ZA"/>
        </w:rPr>
        <w:t xml:space="preserve">Thomson, R.E. and Emery, W.J. (2024) Data analysis methods in physical oceanography. 4th ed. [online] Google Books. Available at: </w:t>
      </w:r>
      <w:hyperlink r:id="rId14" w:history="1">
        <w:r w:rsidRPr="00C32F1B">
          <w:rPr>
            <w:rStyle w:val="Hyperlink"/>
            <w:rFonts w:eastAsia="Times New Roman" w:cstheme="minorHAnsi"/>
            <w:sz w:val="24"/>
            <w:szCs w:val="24"/>
            <w:lang w:eastAsia="en-ZA"/>
          </w:rPr>
          <w:t>https://books.google.com</w:t>
        </w:r>
      </w:hyperlink>
      <w:r>
        <w:rPr>
          <w:rFonts w:eastAsia="Times New Roman" w:cstheme="minorHAnsi"/>
          <w:sz w:val="24"/>
          <w:szCs w:val="24"/>
          <w:lang w:eastAsia="en-ZA"/>
        </w:rPr>
        <w:t xml:space="preserve"> </w:t>
      </w:r>
      <w:r w:rsidRPr="00254E09">
        <w:rPr>
          <w:rFonts w:eastAsia="Times New Roman" w:cstheme="minorHAnsi"/>
          <w:sz w:val="24"/>
          <w:szCs w:val="24"/>
          <w:lang w:eastAsia="en-ZA"/>
        </w:rPr>
        <w:t>[Accessed 18 June 2025].</w:t>
      </w:r>
    </w:p>
    <w:p w14:paraId="360DB13D" w14:textId="7E974AE1" w:rsidR="00254E09" w:rsidRDefault="00254E09" w:rsidP="00254E09">
      <w:pPr>
        <w:pStyle w:val="ListParagraph"/>
        <w:numPr>
          <w:ilvl w:val="0"/>
          <w:numId w:val="1"/>
        </w:numPr>
        <w:rPr>
          <w:rFonts w:eastAsia="Times New Roman" w:cstheme="minorHAnsi"/>
          <w:sz w:val="24"/>
          <w:szCs w:val="24"/>
          <w:lang w:eastAsia="en-ZA"/>
        </w:rPr>
      </w:pPr>
      <w:r w:rsidRPr="00254E09">
        <w:rPr>
          <w:rFonts w:eastAsia="Times New Roman" w:cstheme="minorHAnsi"/>
          <w:sz w:val="24"/>
          <w:szCs w:val="24"/>
          <w:lang w:eastAsia="en-ZA"/>
        </w:rPr>
        <w:t xml:space="preserve">Washington, S., Karlaftis, M.G., Mannering, F. and Anastasopoulos, P. (2020) Statistical and econometric methods for transportation data analysis. 3rd ed. Boca Raton: CRC Press. Available at: </w:t>
      </w:r>
      <w:hyperlink r:id="rId15" w:history="1">
        <w:r w:rsidRPr="00C32F1B">
          <w:rPr>
            <w:rStyle w:val="Hyperlink"/>
            <w:rFonts w:eastAsia="Times New Roman" w:cstheme="minorHAnsi"/>
            <w:sz w:val="24"/>
            <w:szCs w:val="24"/>
            <w:lang w:eastAsia="en-ZA"/>
          </w:rPr>
          <w:t>https://www.academia.edu</w:t>
        </w:r>
      </w:hyperlink>
      <w:r>
        <w:rPr>
          <w:rFonts w:eastAsia="Times New Roman" w:cstheme="minorHAnsi"/>
          <w:sz w:val="24"/>
          <w:szCs w:val="24"/>
          <w:lang w:eastAsia="en-ZA"/>
        </w:rPr>
        <w:t xml:space="preserve"> </w:t>
      </w:r>
      <w:r w:rsidRPr="00254E09">
        <w:rPr>
          <w:rFonts w:eastAsia="Times New Roman" w:cstheme="minorHAnsi"/>
          <w:sz w:val="24"/>
          <w:szCs w:val="24"/>
          <w:lang w:eastAsia="en-ZA"/>
        </w:rPr>
        <w:t>[Accessed 18 June 2025].</w:t>
      </w:r>
    </w:p>
    <w:p w14:paraId="39F1A64C" w14:textId="536368E3" w:rsidR="008358CA" w:rsidRPr="0013620C" w:rsidRDefault="008358CA" w:rsidP="0013620C">
      <w:pPr>
        <w:pStyle w:val="ListParagraph"/>
        <w:numPr>
          <w:ilvl w:val="0"/>
          <w:numId w:val="1"/>
        </w:numPr>
        <w:rPr>
          <w:rFonts w:eastAsia="Times New Roman" w:cstheme="minorHAnsi"/>
          <w:sz w:val="24"/>
          <w:szCs w:val="24"/>
          <w:lang w:eastAsia="en-ZA"/>
        </w:rPr>
      </w:pPr>
      <w:r w:rsidRPr="008358CA">
        <w:rPr>
          <w:rFonts w:eastAsia="Times New Roman" w:cstheme="minorHAnsi"/>
          <w:sz w:val="24"/>
          <w:szCs w:val="24"/>
          <w:lang w:eastAsia="en-ZA"/>
        </w:rPr>
        <w:t xml:space="preserve">Willie, M.M. (2024) ‘Population and target population in research methodology’, </w:t>
      </w:r>
      <w:r w:rsidRPr="008358CA">
        <w:rPr>
          <w:rFonts w:eastAsia="Times New Roman" w:cstheme="minorHAnsi"/>
          <w:i/>
          <w:iCs/>
          <w:sz w:val="24"/>
          <w:szCs w:val="24"/>
          <w:lang w:eastAsia="en-ZA"/>
        </w:rPr>
        <w:t>Golden Ratio of Social Science and Education</w:t>
      </w:r>
      <w:r w:rsidRPr="008358CA">
        <w:rPr>
          <w:rFonts w:eastAsia="Times New Roman" w:cstheme="minorHAnsi"/>
          <w:sz w:val="24"/>
          <w:szCs w:val="24"/>
          <w:lang w:eastAsia="en-ZA"/>
        </w:rPr>
        <w:t xml:space="preserve">, [online] 4(1), pp.12–18. Available at: </w:t>
      </w:r>
      <w:hyperlink r:id="rId16" w:tgtFrame="_new" w:history="1">
        <w:r w:rsidRPr="008358CA">
          <w:rPr>
            <w:rStyle w:val="Hyperlink"/>
            <w:rFonts w:eastAsia="Times New Roman" w:cstheme="minorHAnsi"/>
            <w:sz w:val="24"/>
            <w:szCs w:val="24"/>
            <w:lang w:eastAsia="en-ZA"/>
          </w:rPr>
          <w:t>https://goldenratio.id</w:t>
        </w:r>
      </w:hyperlink>
      <w:r w:rsidRPr="008358CA">
        <w:rPr>
          <w:rFonts w:eastAsia="Times New Roman" w:cstheme="minorHAnsi"/>
          <w:sz w:val="24"/>
          <w:szCs w:val="24"/>
          <w:lang w:eastAsia="en-ZA"/>
        </w:rPr>
        <w:t xml:space="preserve"> [Accessed 18 June 2025].</w:t>
      </w:r>
      <w:r>
        <w:rPr>
          <w:rFonts w:eastAsia="Times New Roman" w:cstheme="minorHAnsi"/>
          <w:sz w:val="24"/>
          <w:szCs w:val="24"/>
          <w:lang w:eastAsia="en-ZA"/>
        </w:rPr>
        <w:t xml:space="preserve"> </w:t>
      </w:r>
    </w:p>
    <w:p w14:paraId="58D0C01F" w14:textId="77777777" w:rsidR="0014696E" w:rsidRPr="0014696E" w:rsidRDefault="0014696E" w:rsidP="0014696E"/>
    <w:sectPr w:rsidR="0014696E" w:rsidRPr="0014696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9938F8"/>
    <w:multiLevelType w:val="hybridMultilevel"/>
    <w:tmpl w:val="723841B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03C85017"/>
    <w:multiLevelType w:val="hybridMultilevel"/>
    <w:tmpl w:val="95A0BE2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15:restartNumberingAfterBreak="0">
    <w:nsid w:val="05DD2702"/>
    <w:multiLevelType w:val="hybridMultilevel"/>
    <w:tmpl w:val="63B6B8F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 w15:restartNumberingAfterBreak="0">
    <w:nsid w:val="0D83001A"/>
    <w:multiLevelType w:val="hybridMultilevel"/>
    <w:tmpl w:val="23527A0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 w15:restartNumberingAfterBreak="0">
    <w:nsid w:val="22803EF3"/>
    <w:multiLevelType w:val="hybridMultilevel"/>
    <w:tmpl w:val="56F0C45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 w15:restartNumberingAfterBreak="0">
    <w:nsid w:val="391D57F7"/>
    <w:multiLevelType w:val="hybridMultilevel"/>
    <w:tmpl w:val="C928BD3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6" w15:restartNumberingAfterBreak="0">
    <w:nsid w:val="420C1028"/>
    <w:multiLevelType w:val="hybridMultilevel"/>
    <w:tmpl w:val="EE32B1F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7" w15:restartNumberingAfterBreak="0">
    <w:nsid w:val="46754953"/>
    <w:multiLevelType w:val="hybridMultilevel"/>
    <w:tmpl w:val="9078DC5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8" w15:restartNumberingAfterBreak="0">
    <w:nsid w:val="494D5FE8"/>
    <w:multiLevelType w:val="hybridMultilevel"/>
    <w:tmpl w:val="1FD238F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9" w15:restartNumberingAfterBreak="0">
    <w:nsid w:val="4C94209F"/>
    <w:multiLevelType w:val="hybridMultilevel"/>
    <w:tmpl w:val="3900387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0" w15:restartNumberingAfterBreak="0">
    <w:nsid w:val="50691AD1"/>
    <w:multiLevelType w:val="hybridMultilevel"/>
    <w:tmpl w:val="F712374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1" w15:restartNumberingAfterBreak="0">
    <w:nsid w:val="6A8C4F18"/>
    <w:multiLevelType w:val="hybridMultilevel"/>
    <w:tmpl w:val="3C98146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2" w15:restartNumberingAfterBreak="0">
    <w:nsid w:val="6C44310E"/>
    <w:multiLevelType w:val="hybridMultilevel"/>
    <w:tmpl w:val="57A81A74"/>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3" w15:restartNumberingAfterBreak="0">
    <w:nsid w:val="6E2F4E5F"/>
    <w:multiLevelType w:val="hybridMultilevel"/>
    <w:tmpl w:val="8F46DD2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11"/>
  </w:num>
  <w:num w:numId="4">
    <w:abstractNumId w:val="0"/>
  </w:num>
  <w:num w:numId="5">
    <w:abstractNumId w:val="5"/>
  </w:num>
  <w:num w:numId="6">
    <w:abstractNumId w:val="10"/>
  </w:num>
  <w:num w:numId="7">
    <w:abstractNumId w:val="12"/>
  </w:num>
  <w:num w:numId="8">
    <w:abstractNumId w:val="8"/>
  </w:num>
  <w:num w:numId="9">
    <w:abstractNumId w:val="6"/>
  </w:num>
  <w:num w:numId="10">
    <w:abstractNumId w:val="7"/>
  </w:num>
  <w:num w:numId="11">
    <w:abstractNumId w:val="13"/>
  </w:num>
  <w:num w:numId="12">
    <w:abstractNumId w:val="4"/>
  </w:num>
  <w:num w:numId="13">
    <w:abstractNumId w:val="9"/>
  </w:num>
  <w:num w:numId="1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2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0871"/>
    <w:rsid w:val="00013E37"/>
    <w:rsid w:val="00023936"/>
    <w:rsid w:val="000307EC"/>
    <w:rsid w:val="00030E2B"/>
    <w:rsid w:val="000C366C"/>
    <w:rsid w:val="000F7867"/>
    <w:rsid w:val="0013620C"/>
    <w:rsid w:val="0014696E"/>
    <w:rsid w:val="0018027B"/>
    <w:rsid w:val="001B526E"/>
    <w:rsid w:val="00231F9E"/>
    <w:rsid w:val="00254E09"/>
    <w:rsid w:val="002772E0"/>
    <w:rsid w:val="002A3992"/>
    <w:rsid w:val="00304E93"/>
    <w:rsid w:val="003111D1"/>
    <w:rsid w:val="0033671F"/>
    <w:rsid w:val="00341EF2"/>
    <w:rsid w:val="00380871"/>
    <w:rsid w:val="003A76C0"/>
    <w:rsid w:val="003F4646"/>
    <w:rsid w:val="00433E10"/>
    <w:rsid w:val="004F1C09"/>
    <w:rsid w:val="00606168"/>
    <w:rsid w:val="00713BEC"/>
    <w:rsid w:val="0078215E"/>
    <w:rsid w:val="00794597"/>
    <w:rsid w:val="007B3BD0"/>
    <w:rsid w:val="007D3024"/>
    <w:rsid w:val="008358CA"/>
    <w:rsid w:val="008B52C0"/>
    <w:rsid w:val="008E65C6"/>
    <w:rsid w:val="00907299"/>
    <w:rsid w:val="009935E9"/>
    <w:rsid w:val="00B22F46"/>
    <w:rsid w:val="00C83666"/>
    <w:rsid w:val="00C953EC"/>
    <w:rsid w:val="00CF39DA"/>
    <w:rsid w:val="00D103AB"/>
    <w:rsid w:val="00D418D7"/>
    <w:rsid w:val="00E55FA2"/>
    <w:rsid w:val="00EB0F13"/>
    <w:rsid w:val="00F24EF3"/>
    <w:rsid w:val="00F46F79"/>
    <w:rsid w:val="00F96351"/>
    <w:rsid w:val="00FC0936"/>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2020E0"/>
  <w15:chartTrackingRefBased/>
  <w15:docId w15:val="{59497062-22B3-4F08-BE91-467C64C577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087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C8366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304E93"/>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380871"/>
    <w:pPr>
      <w:spacing w:after="0" w:line="240" w:lineRule="auto"/>
    </w:pPr>
  </w:style>
  <w:style w:type="paragraph" w:styleId="Quote">
    <w:name w:val="Quote"/>
    <w:basedOn w:val="Normal"/>
    <w:next w:val="Normal"/>
    <w:link w:val="QuoteChar"/>
    <w:uiPriority w:val="29"/>
    <w:qFormat/>
    <w:rsid w:val="00380871"/>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380871"/>
    <w:rPr>
      <w:i/>
      <w:iCs/>
      <w:color w:val="404040" w:themeColor="text1" w:themeTint="BF"/>
    </w:rPr>
  </w:style>
  <w:style w:type="character" w:customStyle="1" w:styleId="Heading1Char">
    <w:name w:val="Heading 1 Char"/>
    <w:basedOn w:val="DefaultParagraphFont"/>
    <w:link w:val="Heading1"/>
    <w:uiPriority w:val="9"/>
    <w:rsid w:val="00380871"/>
    <w:rPr>
      <w:rFonts w:asciiTheme="majorHAnsi" w:eastAsiaTheme="majorEastAsia" w:hAnsiTheme="majorHAnsi" w:cstheme="majorBidi"/>
      <w:color w:val="2F5496" w:themeColor="accent1" w:themeShade="BF"/>
      <w:sz w:val="32"/>
      <w:szCs w:val="32"/>
    </w:rPr>
  </w:style>
  <w:style w:type="character" w:styleId="Strong">
    <w:name w:val="Strong"/>
    <w:basedOn w:val="DefaultParagraphFont"/>
    <w:uiPriority w:val="22"/>
    <w:qFormat/>
    <w:rsid w:val="00380871"/>
    <w:rPr>
      <w:b/>
      <w:bCs/>
    </w:rPr>
  </w:style>
  <w:style w:type="paragraph" w:styleId="IntenseQuote">
    <w:name w:val="Intense Quote"/>
    <w:basedOn w:val="Normal"/>
    <w:next w:val="Normal"/>
    <w:link w:val="IntenseQuoteChar"/>
    <w:uiPriority w:val="30"/>
    <w:qFormat/>
    <w:rsid w:val="0014696E"/>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14696E"/>
    <w:rPr>
      <w:i/>
      <w:iCs/>
      <w:color w:val="4472C4" w:themeColor="accent1"/>
    </w:rPr>
  </w:style>
  <w:style w:type="paragraph" w:styleId="NormalWeb">
    <w:name w:val="Normal (Web)"/>
    <w:basedOn w:val="Normal"/>
    <w:uiPriority w:val="99"/>
    <w:semiHidden/>
    <w:unhideWhenUsed/>
    <w:rsid w:val="0014696E"/>
    <w:pPr>
      <w:spacing w:before="100" w:beforeAutospacing="1" w:after="100" w:afterAutospacing="1" w:line="240" w:lineRule="auto"/>
    </w:pPr>
    <w:rPr>
      <w:rFonts w:ascii="Times New Roman" w:eastAsia="Times New Roman" w:hAnsi="Times New Roman" w:cs="Times New Roman"/>
      <w:sz w:val="24"/>
      <w:szCs w:val="24"/>
      <w:lang w:eastAsia="en-ZA"/>
    </w:rPr>
  </w:style>
  <w:style w:type="character" w:styleId="Emphasis">
    <w:name w:val="Emphasis"/>
    <w:basedOn w:val="DefaultParagraphFont"/>
    <w:uiPriority w:val="20"/>
    <w:qFormat/>
    <w:rsid w:val="0014696E"/>
    <w:rPr>
      <w:i/>
      <w:iCs/>
    </w:rPr>
  </w:style>
  <w:style w:type="character" w:styleId="Hyperlink">
    <w:name w:val="Hyperlink"/>
    <w:basedOn w:val="DefaultParagraphFont"/>
    <w:uiPriority w:val="99"/>
    <w:unhideWhenUsed/>
    <w:rsid w:val="0014696E"/>
    <w:rPr>
      <w:color w:val="0563C1" w:themeColor="hyperlink"/>
      <w:u w:val="single"/>
    </w:rPr>
  </w:style>
  <w:style w:type="character" w:styleId="UnresolvedMention">
    <w:name w:val="Unresolved Mention"/>
    <w:basedOn w:val="DefaultParagraphFont"/>
    <w:uiPriority w:val="99"/>
    <w:semiHidden/>
    <w:unhideWhenUsed/>
    <w:rsid w:val="0014696E"/>
    <w:rPr>
      <w:color w:val="605E5C"/>
      <w:shd w:val="clear" w:color="auto" w:fill="E1DFDD"/>
    </w:rPr>
  </w:style>
  <w:style w:type="character" w:customStyle="1" w:styleId="Heading3Char">
    <w:name w:val="Heading 3 Char"/>
    <w:basedOn w:val="DefaultParagraphFont"/>
    <w:link w:val="Heading3"/>
    <w:uiPriority w:val="9"/>
    <w:rsid w:val="00304E93"/>
    <w:rPr>
      <w:rFonts w:asciiTheme="majorHAnsi" w:eastAsiaTheme="majorEastAsia" w:hAnsiTheme="majorHAnsi" w:cstheme="majorBidi"/>
      <w:color w:val="1F3763" w:themeColor="accent1" w:themeShade="7F"/>
      <w:sz w:val="24"/>
      <w:szCs w:val="24"/>
    </w:rPr>
  </w:style>
  <w:style w:type="paragraph" w:styleId="ListParagraph">
    <w:name w:val="List Paragraph"/>
    <w:basedOn w:val="Normal"/>
    <w:uiPriority w:val="34"/>
    <w:qFormat/>
    <w:rsid w:val="0013620C"/>
    <w:pPr>
      <w:ind w:left="720"/>
      <w:contextualSpacing/>
    </w:pPr>
  </w:style>
  <w:style w:type="character" w:customStyle="1" w:styleId="Heading2Char">
    <w:name w:val="Heading 2 Char"/>
    <w:basedOn w:val="DefaultParagraphFont"/>
    <w:link w:val="Heading2"/>
    <w:uiPriority w:val="9"/>
    <w:rsid w:val="00C83666"/>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592979">
      <w:bodyDiv w:val="1"/>
      <w:marLeft w:val="0"/>
      <w:marRight w:val="0"/>
      <w:marTop w:val="0"/>
      <w:marBottom w:val="0"/>
      <w:divBdr>
        <w:top w:val="none" w:sz="0" w:space="0" w:color="auto"/>
        <w:left w:val="none" w:sz="0" w:space="0" w:color="auto"/>
        <w:bottom w:val="none" w:sz="0" w:space="0" w:color="auto"/>
        <w:right w:val="none" w:sz="0" w:space="0" w:color="auto"/>
      </w:divBdr>
    </w:div>
    <w:div w:id="33584481">
      <w:bodyDiv w:val="1"/>
      <w:marLeft w:val="0"/>
      <w:marRight w:val="0"/>
      <w:marTop w:val="0"/>
      <w:marBottom w:val="0"/>
      <w:divBdr>
        <w:top w:val="none" w:sz="0" w:space="0" w:color="auto"/>
        <w:left w:val="none" w:sz="0" w:space="0" w:color="auto"/>
        <w:bottom w:val="none" w:sz="0" w:space="0" w:color="auto"/>
        <w:right w:val="none" w:sz="0" w:space="0" w:color="auto"/>
      </w:divBdr>
    </w:div>
    <w:div w:id="54814315">
      <w:bodyDiv w:val="1"/>
      <w:marLeft w:val="0"/>
      <w:marRight w:val="0"/>
      <w:marTop w:val="0"/>
      <w:marBottom w:val="0"/>
      <w:divBdr>
        <w:top w:val="none" w:sz="0" w:space="0" w:color="auto"/>
        <w:left w:val="none" w:sz="0" w:space="0" w:color="auto"/>
        <w:bottom w:val="none" w:sz="0" w:space="0" w:color="auto"/>
        <w:right w:val="none" w:sz="0" w:space="0" w:color="auto"/>
      </w:divBdr>
    </w:div>
    <w:div w:id="56513131">
      <w:bodyDiv w:val="1"/>
      <w:marLeft w:val="0"/>
      <w:marRight w:val="0"/>
      <w:marTop w:val="0"/>
      <w:marBottom w:val="0"/>
      <w:divBdr>
        <w:top w:val="none" w:sz="0" w:space="0" w:color="auto"/>
        <w:left w:val="none" w:sz="0" w:space="0" w:color="auto"/>
        <w:bottom w:val="none" w:sz="0" w:space="0" w:color="auto"/>
        <w:right w:val="none" w:sz="0" w:space="0" w:color="auto"/>
      </w:divBdr>
    </w:div>
    <w:div w:id="102459879">
      <w:bodyDiv w:val="1"/>
      <w:marLeft w:val="0"/>
      <w:marRight w:val="0"/>
      <w:marTop w:val="0"/>
      <w:marBottom w:val="0"/>
      <w:divBdr>
        <w:top w:val="none" w:sz="0" w:space="0" w:color="auto"/>
        <w:left w:val="none" w:sz="0" w:space="0" w:color="auto"/>
        <w:bottom w:val="none" w:sz="0" w:space="0" w:color="auto"/>
        <w:right w:val="none" w:sz="0" w:space="0" w:color="auto"/>
      </w:divBdr>
    </w:div>
    <w:div w:id="107508949">
      <w:bodyDiv w:val="1"/>
      <w:marLeft w:val="0"/>
      <w:marRight w:val="0"/>
      <w:marTop w:val="0"/>
      <w:marBottom w:val="0"/>
      <w:divBdr>
        <w:top w:val="none" w:sz="0" w:space="0" w:color="auto"/>
        <w:left w:val="none" w:sz="0" w:space="0" w:color="auto"/>
        <w:bottom w:val="none" w:sz="0" w:space="0" w:color="auto"/>
        <w:right w:val="none" w:sz="0" w:space="0" w:color="auto"/>
      </w:divBdr>
    </w:div>
    <w:div w:id="115376002">
      <w:bodyDiv w:val="1"/>
      <w:marLeft w:val="0"/>
      <w:marRight w:val="0"/>
      <w:marTop w:val="0"/>
      <w:marBottom w:val="0"/>
      <w:divBdr>
        <w:top w:val="none" w:sz="0" w:space="0" w:color="auto"/>
        <w:left w:val="none" w:sz="0" w:space="0" w:color="auto"/>
        <w:bottom w:val="none" w:sz="0" w:space="0" w:color="auto"/>
        <w:right w:val="none" w:sz="0" w:space="0" w:color="auto"/>
      </w:divBdr>
    </w:div>
    <w:div w:id="121194754">
      <w:bodyDiv w:val="1"/>
      <w:marLeft w:val="0"/>
      <w:marRight w:val="0"/>
      <w:marTop w:val="0"/>
      <w:marBottom w:val="0"/>
      <w:divBdr>
        <w:top w:val="none" w:sz="0" w:space="0" w:color="auto"/>
        <w:left w:val="none" w:sz="0" w:space="0" w:color="auto"/>
        <w:bottom w:val="none" w:sz="0" w:space="0" w:color="auto"/>
        <w:right w:val="none" w:sz="0" w:space="0" w:color="auto"/>
      </w:divBdr>
    </w:div>
    <w:div w:id="128212898">
      <w:bodyDiv w:val="1"/>
      <w:marLeft w:val="0"/>
      <w:marRight w:val="0"/>
      <w:marTop w:val="0"/>
      <w:marBottom w:val="0"/>
      <w:divBdr>
        <w:top w:val="none" w:sz="0" w:space="0" w:color="auto"/>
        <w:left w:val="none" w:sz="0" w:space="0" w:color="auto"/>
        <w:bottom w:val="none" w:sz="0" w:space="0" w:color="auto"/>
        <w:right w:val="none" w:sz="0" w:space="0" w:color="auto"/>
      </w:divBdr>
    </w:div>
    <w:div w:id="131140368">
      <w:bodyDiv w:val="1"/>
      <w:marLeft w:val="0"/>
      <w:marRight w:val="0"/>
      <w:marTop w:val="0"/>
      <w:marBottom w:val="0"/>
      <w:divBdr>
        <w:top w:val="none" w:sz="0" w:space="0" w:color="auto"/>
        <w:left w:val="none" w:sz="0" w:space="0" w:color="auto"/>
        <w:bottom w:val="none" w:sz="0" w:space="0" w:color="auto"/>
        <w:right w:val="none" w:sz="0" w:space="0" w:color="auto"/>
      </w:divBdr>
    </w:div>
    <w:div w:id="146438185">
      <w:bodyDiv w:val="1"/>
      <w:marLeft w:val="0"/>
      <w:marRight w:val="0"/>
      <w:marTop w:val="0"/>
      <w:marBottom w:val="0"/>
      <w:divBdr>
        <w:top w:val="none" w:sz="0" w:space="0" w:color="auto"/>
        <w:left w:val="none" w:sz="0" w:space="0" w:color="auto"/>
        <w:bottom w:val="none" w:sz="0" w:space="0" w:color="auto"/>
        <w:right w:val="none" w:sz="0" w:space="0" w:color="auto"/>
      </w:divBdr>
    </w:div>
    <w:div w:id="152382894">
      <w:bodyDiv w:val="1"/>
      <w:marLeft w:val="0"/>
      <w:marRight w:val="0"/>
      <w:marTop w:val="0"/>
      <w:marBottom w:val="0"/>
      <w:divBdr>
        <w:top w:val="none" w:sz="0" w:space="0" w:color="auto"/>
        <w:left w:val="none" w:sz="0" w:space="0" w:color="auto"/>
        <w:bottom w:val="none" w:sz="0" w:space="0" w:color="auto"/>
        <w:right w:val="none" w:sz="0" w:space="0" w:color="auto"/>
      </w:divBdr>
    </w:div>
    <w:div w:id="166140605">
      <w:bodyDiv w:val="1"/>
      <w:marLeft w:val="0"/>
      <w:marRight w:val="0"/>
      <w:marTop w:val="0"/>
      <w:marBottom w:val="0"/>
      <w:divBdr>
        <w:top w:val="none" w:sz="0" w:space="0" w:color="auto"/>
        <w:left w:val="none" w:sz="0" w:space="0" w:color="auto"/>
        <w:bottom w:val="none" w:sz="0" w:space="0" w:color="auto"/>
        <w:right w:val="none" w:sz="0" w:space="0" w:color="auto"/>
      </w:divBdr>
    </w:div>
    <w:div w:id="236404888">
      <w:bodyDiv w:val="1"/>
      <w:marLeft w:val="0"/>
      <w:marRight w:val="0"/>
      <w:marTop w:val="0"/>
      <w:marBottom w:val="0"/>
      <w:divBdr>
        <w:top w:val="none" w:sz="0" w:space="0" w:color="auto"/>
        <w:left w:val="none" w:sz="0" w:space="0" w:color="auto"/>
        <w:bottom w:val="none" w:sz="0" w:space="0" w:color="auto"/>
        <w:right w:val="none" w:sz="0" w:space="0" w:color="auto"/>
      </w:divBdr>
    </w:div>
    <w:div w:id="249386687">
      <w:bodyDiv w:val="1"/>
      <w:marLeft w:val="0"/>
      <w:marRight w:val="0"/>
      <w:marTop w:val="0"/>
      <w:marBottom w:val="0"/>
      <w:divBdr>
        <w:top w:val="none" w:sz="0" w:space="0" w:color="auto"/>
        <w:left w:val="none" w:sz="0" w:space="0" w:color="auto"/>
        <w:bottom w:val="none" w:sz="0" w:space="0" w:color="auto"/>
        <w:right w:val="none" w:sz="0" w:space="0" w:color="auto"/>
      </w:divBdr>
    </w:div>
    <w:div w:id="327945983">
      <w:bodyDiv w:val="1"/>
      <w:marLeft w:val="0"/>
      <w:marRight w:val="0"/>
      <w:marTop w:val="0"/>
      <w:marBottom w:val="0"/>
      <w:divBdr>
        <w:top w:val="none" w:sz="0" w:space="0" w:color="auto"/>
        <w:left w:val="none" w:sz="0" w:space="0" w:color="auto"/>
        <w:bottom w:val="none" w:sz="0" w:space="0" w:color="auto"/>
        <w:right w:val="none" w:sz="0" w:space="0" w:color="auto"/>
      </w:divBdr>
    </w:div>
    <w:div w:id="348484941">
      <w:bodyDiv w:val="1"/>
      <w:marLeft w:val="0"/>
      <w:marRight w:val="0"/>
      <w:marTop w:val="0"/>
      <w:marBottom w:val="0"/>
      <w:divBdr>
        <w:top w:val="none" w:sz="0" w:space="0" w:color="auto"/>
        <w:left w:val="none" w:sz="0" w:space="0" w:color="auto"/>
        <w:bottom w:val="none" w:sz="0" w:space="0" w:color="auto"/>
        <w:right w:val="none" w:sz="0" w:space="0" w:color="auto"/>
      </w:divBdr>
    </w:div>
    <w:div w:id="351954347">
      <w:bodyDiv w:val="1"/>
      <w:marLeft w:val="0"/>
      <w:marRight w:val="0"/>
      <w:marTop w:val="0"/>
      <w:marBottom w:val="0"/>
      <w:divBdr>
        <w:top w:val="none" w:sz="0" w:space="0" w:color="auto"/>
        <w:left w:val="none" w:sz="0" w:space="0" w:color="auto"/>
        <w:bottom w:val="none" w:sz="0" w:space="0" w:color="auto"/>
        <w:right w:val="none" w:sz="0" w:space="0" w:color="auto"/>
      </w:divBdr>
    </w:div>
    <w:div w:id="401415082">
      <w:bodyDiv w:val="1"/>
      <w:marLeft w:val="0"/>
      <w:marRight w:val="0"/>
      <w:marTop w:val="0"/>
      <w:marBottom w:val="0"/>
      <w:divBdr>
        <w:top w:val="none" w:sz="0" w:space="0" w:color="auto"/>
        <w:left w:val="none" w:sz="0" w:space="0" w:color="auto"/>
        <w:bottom w:val="none" w:sz="0" w:space="0" w:color="auto"/>
        <w:right w:val="none" w:sz="0" w:space="0" w:color="auto"/>
      </w:divBdr>
    </w:div>
    <w:div w:id="421340478">
      <w:bodyDiv w:val="1"/>
      <w:marLeft w:val="0"/>
      <w:marRight w:val="0"/>
      <w:marTop w:val="0"/>
      <w:marBottom w:val="0"/>
      <w:divBdr>
        <w:top w:val="none" w:sz="0" w:space="0" w:color="auto"/>
        <w:left w:val="none" w:sz="0" w:space="0" w:color="auto"/>
        <w:bottom w:val="none" w:sz="0" w:space="0" w:color="auto"/>
        <w:right w:val="none" w:sz="0" w:space="0" w:color="auto"/>
      </w:divBdr>
    </w:div>
    <w:div w:id="466239359">
      <w:bodyDiv w:val="1"/>
      <w:marLeft w:val="0"/>
      <w:marRight w:val="0"/>
      <w:marTop w:val="0"/>
      <w:marBottom w:val="0"/>
      <w:divBdr>
        <w:top w:val="none" w:sz="0" w:space="0" w:color="auto"/>
        <w:left w:val="none" w:sz="0" w:space="0" w:color="auto"/>
        <w:bottom w:val="none" w:sz="0" w:space="0" w:color="auto"/>
        <w:right w:val="none" w:sz="0" w:space="0" w:color="auto"/>
      </w:divBdr>
    </w:div>
    <w:div w:id="483939203">
      <w:bodyDiv w:val="1"/>
      <w:marLeft w:val="0"/>
      <w:marRight w:val="0"/>
      <w:marTop w:val="0"/>
      <w:marBottom w:val="0"/>
      <w:divBdr>
        <w:top w:val="none" w:sz="0" w:space="0" w:color="auto"/>
        <w:left w:val="none" w:sz="0" w:space="0" w:color="auto"/>
        <w:bottom w:val="none" w:sz="0" w:space="0" w:color="auto"/>
        <w:right w:val="none" w:sz="0" w:space="0" w:color="auto"/>
      </w:divBdr>
    </w:div>
    <w:div w:id="490100146">
      <w:bodyDiv w:val="1"/>
      <w:marLeft w:val="0"/>
      <w:marRight w:val="0"/>
      <w:marTop w:val="0"/>
      <w:marBottom w:val="0"/>
      <w:divBdr>
        <w:top w:val="none" w:sz="0" w:space="0" w:color="auto"/>
        <w:left w:val="none" w:sz="0" w:space="0" w:color="auto"/>
        <w:bottom w:val="none" w:sz="0" w:space="0" w:color="auto"/>
        <w:right w:val="none" w:sz="0" w:space="0" w:color="auto"/>
      </w:divBdr>
    </w:div>
    <w:div w:id="568882605">
      <w:bodyDiv w:val="1"/>
      <w:marLeft w:val="0"/>
      <w:marRight w:val="0"/>
      <w:marTop w:val="0"/>
      <w:marBottom w:val="0"/>
      <w:divBdr>
        <w:top w:val="none" w:sz="0" w:space="0" w:color="auto"/>
        <w:left w:val="none" w:sz="0" w:space="0" w:color="auto"/>
        <w:bottom w:val="none" w:sz="0" w:space="0" w:color="auto"/>
        <w:right w:val="none" w:sz="0" w:space="0" w:color="auto"/>
      </w:divBdr>
    </w:div>
    <w:div w:id="590315288">
      <w:bodyDiv w:val="1"/>
      <w:marLeft w:val="0"/>
      <w:marRight w:val="0"/>
      <w:marTop w:val="0"/>
      <w:marBottom w:val="0"/>
      <w:divBdr>
        <w:top w:val="none" w:sz="0" w:space="0" w:color="auto"/>
        <w:left w:val="none" w:sz="0" w:space="0" w:color="auto"/>
        <w:bottom w:val="none" w:sz="0" w:space="0" w:color="auto"/>
        <w:right w:val="none" w:sz="0" w:space="0" w:color="auto"/>
      </w:divBdr>
    </w:div>
    <w:div w:id="592789125">
      <w:bodyDiv w:val="1"/>
      <w:marLeft w:val="0"/>
      <w:marRight w:val="0"/>
      <w:marTop w:val="0"/>
      <w:marBottom w:val="0"/>
      <w:divBdr>
        <w:top w:val="none" w:sz="0" w:space="0" w:color="auto"/>
        <w:left w:val="none" w:sz="0" w:space="0" w:color="auto"/>
        <w:bottom w:val="none" w:sz="0" w:space="0" w:color="auto"/>
        <w:right w:val="none" w:sz="0" w:space="0" w:color="auto"/>
      </w:divBdr>
    </w:div>
    <w:div w:id="651329484">
      <w:bodyDiv w:val="1"/>
      <w:marLeft w:val="0"/>
      <w:marRight w:val="0"/>
      <w:marTop w:val="0"/>
      <w:marBottom w:val="0"/>
      <w:divBdr>
        <w:top w:val="none" w:sz="0" w:space="0" w:color="auto"/>
        <w:left w:val="none" w:sz="0" w:space="0" w:color="auto"/>
        <w:bottom w:val="none" w:sz="0" w:space="0" w:color="auto"/>
        <w:right w:val="none" w:sz="0" w:space="0" w:color="auto"/>
      </w:divBdr>
    </w:div>
    <w:div w:id="685330423">
      <w:bodyDiv w:val="1"/>
      <w:marLeft w:val="0"/>
      <w:marRight w:val="0"/>
      <w:marTop w:val="0"/>
      <w:marBottom w:val="0"/>
      <w:divBdr>
        <w:top w:val="none" w:sz="0" w:space="0" w:color="auto"/>
        <w:left w:val="none" w:sz="0" w:space="0" w:color="auto"/>
        <w:bottom w:val="none" w:sz="0" w:space="0" w:color="auto"/>
        <w:right w:val="none" w:sz="0" w:space="0" w:color="auto"/>
      </w:divBdr>
    </w:div>
    <w:div w:id="686175453">
      <w:bodyDiv w:val="1"/>
      <w:marLeft w:val="0"/>
      <w:marRight w:val="0"/>
      <w:marTop w:val="0"/>
      <w:marBottom w:val="0"/>
      <w:divBdr>
        <w:top w:val="none" w:sz="0" w:space="0" w:color="auto"/>
        <w:left w:val="none" w:sz="0" w:space="0" w:color="auto"/>
        <w:bottom w:val="none" w:sz="0" w:space="0" w:color="auto"/>
        <w:right w:val="none" w:sz="0" w:space="0" w:color="auto"/>
      </w:divBdr>
    </w:div>
    <w:div w:id="696001405">
      <w:bodyDiv w:val="1"/>
      <w:marLeft w:val="0"/>
      <w:marRight w:val="0"/>
      <w:marTop w:val="0"/>
      <w:marBottom w:val="0"/>
      <w:divBdr>
        <w:top w:val="none" w:sz="0" w:space="0" w:color="auto"/>
        <w:left w:val="none" w:sz="0" w:space="0" w:color="auto"/>
        <w:bottom w:val="none" w:sz="0" w:space="0" w:color="auto"/>
        <w:right w:val="none" w:sz="0" w:space="0" w:color="auto"/>
      </w:divBdr>
    </w:div>
    <w:div w:id="759182237">
      <w:bodyDiv w:val="1"/>
      <w:marLeft w:val="0"/>
      <w:marRight w:val="0"/>
      <w:marTop w:val="0"/>
      <w:marBottom w:val="0"/>
      <w:divBdr>
        <w:top w:val="none" w:sz="0" w:space="0" w:color="auto"/>
        <w:left w:val="none" w:sz="0" w:space="0" w:color="auto"/>
        <w:bottom w:val="none" w:sz="0" w:space="0" w:color="auto"/>
        <w:right w:val="none" w:sz="0" w:space="0" w:color="auto"/>
      </w:divBdr>
    </w:div>
    <w:div w:id="791678308">
      <w:bodyDiv w:val="1"/>
      <w:marLeft w:val="0"/>
      <w:marRight w:val="0"/>
      <w:marTop w:val="0"/>
      <w:marBottom w:val="0"/>
      <w:divBdr>
        <w:top w:val="none" w:sz="0" w:space="0" w:color="auto"/>
        <w:left w:val="none" w:sz="0" w:space="0" w:color="auto"/>
        <w:bottom w:val="none" w:sz="0" w:space="0" w:color="auto"/>
        <w:right w:val="none" w:sz="0" w:space="0" w:color="auto"/>
      </w:divBdr>
    </w:div>
    <w:div w:id="878519215">
      <w:bodyDiv w:val="1"/>
      <w:marLeft w:val="0"/>
      <w:marRight w:val="0"/>
      <w:marTop w:val="0"/>
      <w:marBottom w:val="0"/>
      <w:divBdr>
        <w:top w:val="none" w:sz="0" w:space="0" w:color="auto"/>
        <w:left w:val="none" w:sz="0" w:space="0" w:color="auto"/>
        <w:bottom w:val="none" w:sz="0" w:space="0" w:color="auto"/>
        <w:right w:val="none" w:sz="0" w:space="0" w:color="auto"/>
      </w:divBdr>
    </w:div>
    <w:div w:id="886381910">
      <w:bodyDiv w:val="1"/>
      <w:marLeft w:val="0"/>
      <w:marRight w:val="0"/>
      <w:marTop w:val="0"/>
      <w:marBottom w:val="0"/>
      <w:divBdr>
        <w:top w:val="none" w:sz="0" w:space="0" w:color="auto"/>
        <w:left w:val="none" w:sz="0" w:space="0" w:color="auto"/>
        <w:bottom w:val="none" w:sz="0" w:space="0" w:color="auto"/>
        <w:right w:val="none" w:sz="0" w:space="0" w:color="auto"/>
      </w:divBdr>
    </w:div>
    <w:div w:id="941915496">
      <w:bodyDiv w:val="1"/>
      <w:marLeft w:val="0"/>
      <w:marRight w:val="0"/>
      <w:marTop w:val="0"/>
      <w:marBottom w:val="0"/>
      <w:divBdr>
        <w:top w:val="none" w:sz="0" w:space="0" w:color="auto"/>
        <w:left w:val="none" w:sz="0" w:space="0" w:color="auto"/>
        <w:bottom w:val="none" w:sz="0" w:space="0" w:color="auto"/>
        <w:right w:val="none" w:sz="0" w:space="0" w:color="auto"/>
      </w:divBdr>
    </w:div>
    <w:div w:id="961154750">
      <w:bodyDiv w:val="1"/>
      <w:marLeft w:val="0"/>
      <w:marRight w:val="0"/>
      <w:marTop w:val="0"/>
      <w:marBottom w:val="0"/>
      <w:divBdr>
        <w:top w:val="none" w:sz="0" w:space="0" w:color="auto"/>
        <w:left w:val="none" w:sz="0" w:space="0" w:color="auto"/>
        <w:bottom w:val="none" w:sz="0" w:space="0" w:color="auto"/>
        <w:right w:val="none" w:sz="0" w:space="0" w:color="auto"/>
      </w:divBdr>
    </w:div>
    <w:div w:id="974718352">
      <w:bodyDiv w:val="1"/>
      <w:marLeft w:val="0"/>
      <w:marRight w:val="0"/>
      <w:marTop w:val="0"/>
      <w:marBottom w:val="0"/>
      <w:divBdr>
        <w:top w:val="none" w:sz="0" w:space="0" w:color="auto"/>
        <w:left w:val="none" w:sz="0" w:space="0" w:color="auto"/>
        <w:bottom w:val="none" w:sz="0" w:space="0" w:color="auto"/>
        <w:right w:val="none" w:sz="0" w:space="0" w:color="auto"/>
      </w:divBdr>
    </w:div>
    <w:div w:id="1028219390">
      <w:bodyDiv w:val="1"/>
      <w:marLeft w:val="0"/>
      <w:marRight w:val="0"/>
      <w:marTop w:val="0"/>
      <w:marBottom w:val="0"/>
      <w:divBdr>
        <w:top w:val="none" w:sz="0" w:space="0" w:color="auto"/>
        <w:left w:val="none" w:sz="0" w:space="0" w:color="auto"/>
        <w:bottom w:val="none" w:sz="0" w:space="0" w:color="auto"/>
        <w:right w:val="none" w:sz="0" w:space="0" w:color="auto"/>
      </w:divBdr>
    </w:div>
    <w:div w:id="1053037564">
      <w:bodyDiv w:val="1"/>
      <w:marLeft w:val="0"/>
      <w:marRight w:val="0"/>
      <w:marTop w:val="0"/>
      <w:marBottom w:val="0"/>
      <w:divBdr>
        <w:top w:val="none" w:sz="0" w:space="0" w:color="auto"/>
        <w:left w:val="none" w:sz="0" w:space="0" w:color="auto"/>
        <w:bottom w:val="none" w:sz="0" w:space="0" w:color="auto"/>
        <w:right w:val="none" w:sz="0" w:space="0" w:color="auto"/>
      </w:divBdr>
    </w:div>
    <w:div w:id="1060208302">
      <w:bodyDiv w:val="1"/>
      <w:marLeft w:val="0"/>
      <w:marRight w:val="0"/>
      <w:marTop w:val="0"/>
      <w:marBottom w:val="0"/>
      <w:divBdr>
        <w:top w:val="none" w:sz="0" w:space="0" w:color="auto"/>
        <w:left w:val="none" w:sz="0" w:space="0" w:color="auto"/>
        <w:bottom w:val="none" w:sz="0" w:space="0" w:color="auto"/>
        <w:right w:val="none" w:sz="0" w:space="0" w:color="auto"/>
      </w:divBdr>
    </w:div>
    <w:div w:id="1141848995">
      <w:bodyDiv w:val="1"/>
      <w:marLeft w:val="0"/>
      <w:marRight w:val="0"/>
      <w:marTop w:val="0"/>
      <w:marBottom w:val="0"/>
      <w:divBdr>
        <w:top w:val="none" w:sz="0" w:space="0" w:color="auto"/>
        <w:left w:val="none" w:sz="0" w:space="0" w:color="auto"/>
        <w:bottom w:val="none" w:sz="0" w:space="0" w:color="auto"/>
        <w:right w:val="none" w:sz="0" w:space="0" w:color="auto"/>
      </w:divBdr>
    </w:div>
    <w:div w:id="1179198320">
      <w:bodyDiv w:val="1"/>
      <w:marLeft w:val="0"/>
      <w:marRight w:val="0"/>
      <w:marTop w:val="0"/>
      <w:marBottom w:val="0"/>
      <w:divBdr>
        <w:top w:val="none" w:sz="0" w:space="0" w:color="auto"/>
        <w:left w:val="none" w:sz="0" w:space="0" w:color="auto"/>
        <w:bottom w:val="none" w:sz="0" w:space="0" w:color="auto"/>
        <w:right w:val="none" w:sz="0" w:space="0" w:color="auto"/>
      </w:divBdr>
    </w:div>
    <w:div w:id="1214318574">
      <w:bodyDiv w:val="1"/>
      <w:marLeft w:val="0"/>
      <w:marRight w:val="0"/>
      <w:marTop w:val="0"/>
      <w:marBottom w:val="0"/>
      <w:divBdr>
        <w:top w:val="none" w:sz="0" w:space="0" w:color="auto"/>
        <w:left w:val="none" w:sz="0" w:space="0" w:color="auto"/>
        <w:bottom w:val="none" w:sz="0" w:space="0" w:color="auto"/>
        <w:right w:val="none" w:sz="0" w:space="0" w:color="auto"/>
      </w:divBdr>
    </w:div>
    <w:div w:id="1231185605">
      <w:bodyDiv w:val="1"/>
      <w:marLeft w:val="0"/>
      <w:marRight w:val="0"/>
      <w:marTop w:val="0"/>
      <w:marBottom w:val="0"/>
      <w:divBdr>
        <w:top w:val="none" w:sz="0" w:space="0" w:color="auto"/>
        <w:left w:val="none" w:sz="0" w:space="0" w:color="auto"/>
        <w:bottom w:val="none" w:sz="0" w:space="0" w:color="auto"/>
        <w:right w:val="none" w:sz="0" w:space="0" w:color="auto"/>
      </w:divBdr>
    </w:div>
    <w:div w:id="1332566465">
      <w:bodyDiv w:val="1"/>
      <w:marLeft w:val="0"/>
      <w:marRight w:val="0"/>
      <w:marTop w:val="0"/>
      <w:marBottom w:val="0"/>
      <w:divBdr>
        <w:top w:val="none" w:sz="0" w:space="0" w:color="auto"/>
        <w:left w:val="none" w:sz="0" w:space="0" w:color="auto"/>
        <w:bottom w:val="none" w:sz="0" w:space="0" w:color="auto"/>
        <w:right w:val="none" w:sz="0" w:space="0" w:color="auto"/>
      </w:divBdr>
    </w:div>
    <w:div w:id="1378505930">
      <w:bodyDiv w:val="1"/>
      <w:marLeft w:val="0"/>
      <w:marRight w:val="0"/>
      <w:marTop w:val="0"/>
      <w:marBottom w:val="0"/>
      <w:divBdr>
        <w:top w:val="none" w:sz="0" w:space="0" w:color="auto"/>
        <w:left w:val="none" w:sz="0" w:space="0" w:color="auto"/>
        <w:bottom w:val="none" w:sz="0" w:space="0" w:color="auto"/>
        <w:right w:val="none" w:sz="0" w:space="0" w:color="auto"/>
      </w:divBdr>
    </w:div>
    <w:div w:id="1443458455">
      <w:bodyDiv w:val="1"/>
      <w:marLeft w:val="0"/>
      <w:marRight w:val="0"/>
      <w:marTop w:val="0"/>
      <w:marBottom w:val="0"/>
      <w:divBdr>
        <w:top w:val="none" w:sz="0" w:space="0" w:color="auto"/>
        <w:left w:val="none" w:sz="0" w:space="0" w:color="auto"/>
        <w:bottom w:val="none" w:sz="0" w:space="0" w:color="auto"/>
        <w:right w:val="none" w:sz="0" w:space="0" w:color="auto"/>
      </w:divBdr>
    </w:div>
    <w:div w:id="1451973994">
      <w:bodyDiv w:val="1"/>
      <w:marLeft w:val="0"/>
      <w:marRight w:val="0"/>
      <w:marTop w:val="0"/>
      <w:marBottom w:val="0"/>
      <w:divBdr>
        <w:top w:val="none" w:sz="0" w:space="0" w:color="auto"/>
        <w:left w:val="none" w:sz="0" w:space="0" w:color="auto"/>
        <w:bottom w:val="none" w:sz="0" w:space="0" w:color="auto"/>
        <w:right w:val="none" w:sz="0" w:space="0" w:color="auto"/>
      </w:divBdr>
    </w:div>
    <w:div w:id="1540971052">
      <w:bodyDiv w:val="1"/>
      <w:marLeft w:val="0"/>
      <w:marRight w:val="0"/>
      <w:marTop w:val="0"/>
      <w:marBottom w:val="0"/>
      <w:divBdr>
        <w:top w:val="none" w:sz="0" w:space="0" w:color="auto"/>
        <w:left w:val="none" w:sz="0" w:space="0" w:color="auto"/>
        <w:bottom w:val="none" w:sz="0" w:space="0" w:color="auto"/>
        <w:right w:val="none" w:sz="0" w:space="0" w:color="auto"/>
      </w:divBdr>
    </w:div>
    <w:div w:id="1579166956">
      <w:bodyDiv w:val="1"/>
      <w:marLeft w:val="0"/>
      <w:marRight w:val="0"/>
      <w:marTop w:val="0"/>
      <w:marBottom w:val="0"/>
      <w:divBdr>
        <w:top w:val="none" w:sz="0" w:space="0" w:color="auto"/>
        <w:left w:val="none" w:sz="0" w:space="0" w:color="auto"/>
        <w:bottom w:val="none" w:sz="0" w:space="0" w:color="auto"/>
        <w:right w:val="none" w:sz="0" w:space="0" w:color="auto"/>
      </w:divBdr>
    </w:div>
    <w:div w:id="1581400689">
      <w:bodyDiv w:val="1"/>
      <w:marLeft w:val="0"/>
      <w:marRight w:val="0"/>
      <w:marTop w:val="0"/>
      <w:marBottom w:val="0"/>
      <w:divBdr>
        <w:top w:val="none" w:sz="0" w:space="0" w:color="auto"/>
        <w:left w:val="none" w:sz="0" w:space="0" w:color="auto"/>
        <w:bottom w:val="none" w:sz="0" w:space="0" w:color="auto"/>
        <w:right w:val="none" w:sz="0" w:space="0" w:color="auto"/>
      </w:divBdr>
    </w:div>
    <w:div w:id="1593391010">
      <w:bodyDiv w:val="1"/>
      <w:marLeft w:val="0"/>
      <w:marRight w:val="0"/>
      <w:marTop w:val="0"/>
      <w:marBottom w:val="0"/>
      <w:divBdr>
        <w:top w:val="none" w:sz="0" w:space="0" w:color="auto"/>
        <w:left w:val="none" w:sz="0" w:space="0" w:color="auto"/>
        <w:bottom w:val="none" w:sz="0" w:space="0" w:color="auto"/>
        <w:right w:val="none" w:sz="0" w:space="0" w:color="auto"/>
      </w:divBdr>
    </w:div>
    <w:div w:id="1782410269">
      <w:bodyDiv w:val="1"/>
      <w:marLeft w:val="0"/>
      <w:marRight w:val="0"/>
      <w:marTop w:val="0"/>
      <w:marBottom w:val="0"/>
      <w:divBdr>
        <w:top w:val="none" w:sz="0" w:space="0" w:color="auto"/>
        <w:left w:val="none" w:sz="0" w:space="0" w:color="auto"/>
        <w:bottom w:val="none" w:sz="0" w:space="0" w:color="auto"/>
        <w:right w:val="none" w:sz="0" w:space="0" w:color="auto"/>
      </w:divBdr>
    </w:div>
    <w:div w:id="1784566619">
      <w:bodyDiv w:val="1"/>
      <w:marLeft w:val="0"/>
      <w:marRight w:val="0"/>
      <w:marTop w:val="0"/>
      <w:marBottom w:val="0"/>
      <w:divBdr>
        <w:top w:val="none" w:sz="0" w:space="0" w:color="auto"/>
        <w:left w:val="none" w:sz="0" w:space="0" w:color="auto"/>
        <w:bottom w:val="none" w:sz="0" w:space="0" w:color="auto"/>
        <w:right w:val="none" w:sz="0" w:space="0" w:color="auto"/>
      </w:divBdr>
    </w:div>
    <w:div w:id="1814524314">
      <w:bodyDiv w:val="1"/>
      <w:marLeft w:val="0"/>
      <w:marRight w:val="0"/>
      <w:marTop w:val="0"/>
      <w:marBottom w:val="0"/>
      <w:divBdr>
        <w:top w:val="none" w:sz="0" w:space="0" w:color="auto"/>
        <w:left w:val="none" w:sz="0" w:space="0" w:color="auto"/>
        <w:bottom w:val="none" w:sz="0" w:space="0" w:color="auto"/>
        <w:right w:val="none" w:sz="0" w:space="0" w:color="auto"/>
      </w:divBdr>
    </w:div>
    <w:div w:id="1824160538">
      <w:bodyDiv w:val="1"/>
      <w:marLeft w:val="0"/>
      <w:marRight w:val="0"/>
      <w:marTop w:val="0"/>
      <w:marBottom w:val="0"/>
      <w:divBdr>
        <w:top w:val="none" w:sz="0" w:space="0" w:color="auto"/>
        <w:left w:val="none" w:sz="0" w:space="0" w:color="auto"/>
        <w:bottom w:val="none" w:sz="0" w:space="0" w:color="auto"/>
        <w:right w:val="none" w:sz="0" w:space="0" w:color="auto"/>
      </w:divBdr>
    </w:div>
    <w:div w:id="1838033263">
      <w:bodyDiv w:val="1"/>
      <w:marLeft w:val="0"/>
      <w:marRight w:val="0"/>
      <w:marTop w:val="0"/>
      <w:marBottom w:val="0"/>
      <w:divBdr>
        <w:top w:val="none" w:sz="0" w:space="0" w:color="auto"/>
        <w:left w:val="none" w:sz="0" w:space="0" w:color="auto"/>
        <w:bottom w:val="none" w:sz="0" w:space="0" w:color="auto"/>
        <w:right w:val="none" w:sz="0" w:space="0" w:color="auto"/>
      </w:divBdr>
    </w:div>
    <w:div w:id="1906598218">
      <w:bodyDiv w:val="1"/>
      <w:marLeft w:val="0"/>
      <w:marRight w:val="0"/>
      <w:marTop w:val="0"/>
      <w:marBottom w:val="0"/>
      <w:divBdr>
        <w:top w:val="none" w:sz="0" w:space="0" w:color="auto"/>
        <w:left w:val="none" w:sz="0" w:space="0" w:color="auto"/>
        <w:bottom w:val="none" w:sz="0" w:space="0" w:color="auto"/>
        <w:right w:val="none" w:sz="0" w:space="0" w:color="auto"/>
      </w:divBdr>
    </w:div>
    <w:div w:id="1934776348">
      <w:bodyDiv w:val="1"/>
      <w:marLeft w:val="0"/>
      <w:marRight w:val="0"/>
      <w:marTop w:val="0"/>
      <w:marBottom w:val="0"/>
      <w:divBdr>
        <w:top w:val="none" w:sz="0" w:space="0" w:color="auto"/>
        <w:left w:val="none" w:sz="0" w:space="0" w:color="auto"/>
        <w:bottom w:val="none" w:sz="0" w:space="0" w:color="auto"/>
        <w:right w:val="none" w:sz="0" w:space="0" w:color="auto"/>
      </w:divBdr>
    </w:div>
    <w:div w:id="1938244661">
      <w:bodyDiv w:val="1"/>
      <w:marLeft w:val="0"/>
      <w:marRight w:val="0"/>
      <w:marTop w:val="0"/>
      <w:marBottom w:val="0"/>
      <w:divBdr>
        <w:top w:val="none" w:sz="0" w:space="0" w:color="auto"/>
        <w:left w:val="none" w:sz="0" w:space="0" w:color="auto"/>
        <w:bottom w:val="none" w:sz="0" w:space="0" w:color="auto"/>
        <w:right w:val="none" w:sz="0" w:space="0" w:color="auto"/>
      </w:divBdr>
    </w:div>
    <w:div w:id="2006591606">
      <w:bodyDiv w:val="1"/>
      <w:marLeft w:val="0"/>
      <w:marRight w:val="0"/>
      <w:marTop w:val="0"/>
      <w:marBottom w:val="0"/>
      <w:divBdr>
        <w:top w:val="none" w:sz="0" w:space="0" w:color="auto"/>
        <w:left w:val="none" w:sz="0" w:space="0" w:color="auto"/>
        <w:bottom w:val="none" w:sz="0" w:space="0" w:color="auto"/>
        <w:right w:val="none" w:sz="0" w:space="0" w:color="auto"/>
      </w:divBdr>
    </w:div>
    <w:div w:id="2051103089">
      <w:bodyDiv w:val="1"/>
      <w:marLeft w:val="0"/>
      <w:marRight w:val="0"/>
      <w:marTop w:val="0"/>
      <w:marBottom w:val="0"/>
      <w:divBdr>
        <w:top w:val="none" w:sz="0" w:space="0" w:color="auto"/>
        <w:left w:val="none" w:sz="0" w:space="0" w:color="auto"/>
        <w:bottom w:val="none" w:sz="0" w:space="0" w:color="auto"/>
        <w:right w:val="none" w:sz="0" w:space="0" w:color="auto"/>
      </w:divBdr>
    </w:div>
    <w:div w:id="2055158196">
      <w:bodyDiv w:val="1"/>
      <w:marLeft w:val="0"/>
      <w:marRight w:val="0"/>
      <w:marTop w:val="0"/>
      <w:marBottom w:val="0"/>
      <w:divBdr>
        <w:top w:val="none" w:sz="0" w:space="0" w:color="auto"/>
        <w:left w:val="none" w:sz="0" w:space="0" w:color="auto"/>
        <w:bottom w:val="none" w:sz="0" w:space="0" w:color="auto"/>
        <w:right w:val="none" w:sz="0" w:space="0" w:color="auto"/>
      </w:divBdr>
    </w:div>
    <w:div w:id="21223352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24052/JBRMR/V13I03/ART-21" TargetMode="External"/><Relationship Id="rId13" Type="http://schemas.openxmlformats.org/officeDocument/2006/relationships/hyperlink" Target="https://www.emerald.com/insight/content/doi/10.1108/JSOCM-05-2018-0056/full/html"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researchgate.net" TargetMode="External"/><Relationship Id="rId12" Type="http://schemas.openxmlformats.org/officeDocument/2006/relationships/hyperlink" Target="https://www.niehs.nih.gov/research/resources/bioethics/whatis/index.cfm"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goldenratio.id" TargetMode="External"/><Relationship Id="rId1" Type="http://schemas.openxmlformats.org/officeDocument/2006/relationships/numbering" Target="numbering.xml"/><Relationship Id="rId6" Type="http://schemas.openxmlformats.org/officeDocument/2006/relationships/hyperlink" Target="https://journals.sagepub.com" TargetMode="External"/><Relationship Id="rId11" Type="http://schemas.openxmlformats.org/officeDocument/2006/relationships/hyperlink" Target="https://journals.sagepub.com/doi/epub/10.1177/15562646231188004" TargetMode="External"/><Relationship Id="rId5" Type="http://schemas.openxmlformats.org/officeDocument/2006/relationships/hyperlink" Target="https://ezproxy.ilearn.ac.za/login?url=https://search.ebscohost.com/login.aspx?direct=true&amp;db=eue&amp;AN=142603653&amp;site=ehost-live&amp;scope=site" TargetMode="External"/><Relationship Id="rId15" Type="http://schemas.openxmlformats.org/officeDocument/2006/relationships/hyperlink" Target="https://www.academia.edu" TargetMode="External"/><Relationship Id="rId10" Type="http://schemas.openxmlformats.org/officeDocument/2006/relationships/hyperlink" Target="https://hal.science" TargetMode="External"/><Relationship Id="rId4" Type="http://schemas.openxmlformats.org/officeDocument/2006/relationships/webSettings" Target="webSettings.xml"/><Relationship Id="rId9" Type="http://schemas.openxmlformats.org/officeDocument/2006/relationships/hyperlink" Target="https://www.cochrane.org" TargetMode="External"/><Relationship Id="rId14" Type="http://schemas.openxmlformats.org/officeDocument/2006/relationships/hyperlink" Target="https://books.googl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258</TotalTime>
  <Pages>1</Pages>
  <Words>5368</Words>
  <Characters>30599</Characters>
  <Application>Microsoft Office Word</Application>
  <DocSecurity>0</DocSecurity>
  <Lines>254</Lines>
  <Paragraphs>71</Paragraphs>
  <ScaleCrop>false</ScaleCrop>
  <HeadingPairs>
    <vt:vector size="4" baseType="variant">
      <vt:variant>
        <vt:lpstr>Title</vt:lpstr>
      </vt:variant>
      <vt:variant>
        <vt:i4>1</vt:i4>
      </vt:variant>
      <vt:variant>
        <vt:lpstr>Headings</vt:lpstr>
      </vt:variant>
      <vt:variant>
        <vt:i4>2</vt:i4>
      </vt:variant>
    </vt:vector>
  </HeadingPairs>
  <TitlesOfParts>
    <vt:vector size="3" baseType="lpstr">
      <vt:lpstr/>
      <vt:lpstr>Question 1</vt:lpstr>
      <vt:lpstr>    Question 2</vt:lpstr>
    </vt:vector>
  </TitlesOfParts>
  <Company/>
  <LinksUpToDate>false</LinksUpToDate>
  <CharactersWithSpaces>35896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katleho nthunya</dc:creator>
  <cp:keywords/>
  <dc:description/>
  <cp:lastModifiedBy>katleho nthunya</cp:lastModifiedBy>
  <cp:revision>3</cp:revision>
  <dcterms:created xsi:type="dcterms:W3CDTF">2025-06-18T09:32:00Z</dcterms:created>
  <dcterms:modified xsi:type="dcterms:W3CDTF">2025-06-18T13:54:00Z</dcterms:modified>
</cp:coreProperties>
</file>