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Промышленный подъем 90-х гг. XIX в. На рубеже XIX - XX вв. российское общество вступило в новую фазу своего развития. Экономика приняла отчетливый циклический характер, с интенсивными подъемами во всех сферах экономики и резкими снижениями показателей экономического роста в годы кризиса и депрессии.</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1880-е гг. прошли под знаком застоя, снижения темпов роста во всех сферах народного хозяйства. Однако в начале 90-х гг. XIX в. в России начался промышленный подъем, который продолжался до начала XX в. и шел очень интенсивно. Особенно высокими темпами развивалась тяжелая промышленность, которая к концу века давала почти половину всей промышленной продукции в ее стоимостном выражении. По общему объему продукции тяжелой промышленности Россия вошла в число первых стран мира.</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Главной причиной промышленного подъема 90-х гг. явилась грамотная экономическая политика правительства, направленная на поддержку и протекционистскую защиту промышленности, стабилизацию денежного обращения, создание условий для развития в России рыночного уклада.</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Важной частью экономической политики, направленной на защиту отечественных предпринимателей и создание благоприятных условий во внешней торговле, была таможенная политика. В разработке новых таможенных пошлин принимали участие промышленники, представители биржевых кругов, общественные деятели, проводились консультации с учеными-экономистами. Одним из авторов тарифа был Д. И. Менделеев. В 1891 г. были установлены новые таможенные тарифы. На большинство ввозимых в Россию товаров были установлены высокие, почти запретительные таможенные пошлины. В среднем таможенные тарифы составляли 33 % от стоимости товаров, а на товары, особенно угрожающие отечественным производителям, они могли достигать 100 %, например на железнодорожное оборудование и подвижной состав. Наряду с высокими импортными пошлинами устанавливались невысокие экспортные пошлины. Однако если вывоз продукции был нежелателен, то производителю приходилось оплачивать его высокими пошлинами. Таким образом, таможенные пошлины являлись важнейшим средством регулирования внешнеторгового баланса страны. Они сдерживали товарный импорт и способствовали активизации баланса внешней торговли.</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 xml:space="preserve">Кроме того, в целях улучшения условий внешней торговли для российских производителей, создавались экспортные организации предпринимателей, например Союз бакинских </w:t>
      </w:r>
      <w:proofErr w:type="spellStart"/>
      <w:r w:rsidRPr="00DA4AD6">
        <w:rPr>
          <w:rFonts w:ascii="Times New Roman" w:hAnsi="Times New Roman" w:cs="Times New Roman"/>
          <w:sz w:val="28"/>
          <w:szCs w:val="28"/>
        </w:rPr>
        <w:t>керосинозаводчи</w:t>
      </w:r>
      <w:proofErr w:type="spellEnd"/>
      <w:r w:rsidRPr="00DA4AD6">
        <w:rPr>
          <w:rFonts w:ascii="Times New Roman" w:hAnsi="Times New Roman" w:cs="Times New Roman"/>
          <w:sz w:val="28"/>
          <w:szCs w:val="28"/>
        </w:rPr>
        <w:t xml:space="preserve">-ков, который с помощью министерства финансов помог выстоять в конкурентной борьбе с американской компанией «Стандарт </w:t>
      </w:r>
      <w:proofErr w:type="spellStart"/>
      <w:r w:rsidRPr="00DA4AD6">
        <w:rPr>
          <w:rFonts w:ascii="Times New Roman" w:hAnsi="Times New Roman" w:cs="Times New Roman"/>
          <w:sz w:val="28"/>
          <w:szCs w:val="28"/>
        </w:rPr>
        <w:t>ойл</w:t>
      </w:r>
      <w:proofErr w:type="spellEnd"/>
      <w:r w:rsidRPr="00DA4AD6">
        <w:rPr>
          <w:rFonts w:ascii="Times New Roman" w:hAnsi="Times New Roman" w:cs="Times New Roman"/>
          <w:sz w:val="28"/>
          <w:szCs w:val="28"/>
        </w:rPr>
        <w:t xml:space="preserve">». Создавались отделения и склады русских торгово-промышленных фирм за границей, совершенствовалась </w:t>
      </w:r>
      <w:r w:rsidRPr="00DA4AD6">
        <w:rPr>
          <w:rFonts w:ascii="Times New Roman" w:hAnsi="Times New Roman" w:cs="Times New Roman"/>
          <w:sz w:val="28"/>
          <w:szCs w:val="28"/>
        </w:rPr>
        <w:lastRenderedPageBreak/>
        <w:t>деятельность торговых представителей за рубежом. Россия стала принимать постоянное участие в международных промышленных выставках. Формой протекционистской защиты отечественной промышленности было также расширение государственных заказов частным производителям и их государственное финансирование.</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Таможенные тарифы были направлены не только на защиту отечественной промышленности, но и часто выполняли фискальную функцию, так как пошлины приносили казне значительный доход. В бюджете 1899 г. таможенный доход составлял 10 % от общей суммы доходов, в 1913 г. - 12 %.</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Важнейшим условием экономического роста было признано строительство железных дорог. Правительство проводило политику поощрения развития транспортного машиностроения и рельсового производства. В 1890 г. Россия переживала самый интенсивный и масштабный подъем железнодорожного строительства. Одной из ведущих отраслей российской промышленности стало транспортное машиностроение. За счет отечественного производства покрывался весь спрос российских железных дорог.</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В 90-е гг. среднегодовой прирост железнодорожной сети составлял 2,5 тыс. км. Максимального размаха строительство достигло в 1899 г., когда было открыто для движения 5,2 тыс. км новых линий. Всего за 90-е гг. было построено 22,6 тыс. км железных дорог, и к началу XX столетия их общая протяженность составила</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53,2 тыс. км. Россия по абсолютному приросту железных дорог вышла на первое место в Европе, а по длине железнодорожной сети заняла второе место в мире после США.</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Железные дороги связали богатые сырьем окраины с промышленными центрами, индустриальные города и земледельческие губернии - с морскими портами, способствовали формированию рынков труда, товаров и капиталов.</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Железнодорожное строительство стимулировало рост других отраслей тяжелой промышленности, являясь крупнейшим потребителем металлургической, топливной, машиностроительной промышленности.</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 xml:space="preserve">Металлургическая промышленность 90-х гг. XIX в. и по темпам роста, и по технической оснащенности производства обогнала уровень предыдущих лет. Если раньше основным центром металлургии был Урал, то теперь на передовые позиции вышел Южный горнопромышленный район. На Юге появилось много новых крупных заводов - </w:t>
      </w:r>
      <w:proofErr w:type="spellStart"/>
      <w:r w:rsidRPr="00DA4AD6">
        <w:rPr>
          <w:rFonts w:ascii="Times New Roman" w:hAnsi="Times New Roman" w:cs="Times New Roman"/>
          <w:sz w:val="28"/>
          <w:szCs w:val="28"/>
        </w:rPr>
        <w:t>Дружковский</w:t>
      </w:r>
      <w:proofErr w:type="spellEnd"/>
      <w:r w:rsidRPr="00DA4AD6">
        <w:rPr>
          <w:rFonts w:ascii="Times New Roman" w:hAnsi="Times New Roman" w:cs="Times New Roman"/>
          <w:sz w:val="28"/>
          <w:szCs w:val="28"/>
        </w:rPr>
        <w:t xml:space="preserve"> завод Общества железоделательных и сталеплавильных предприятий, Таганрогский завод, </w:t>
      </w:r>
      <w:proofErr w:type="spellStart"/>
      <w:r w:rsidRPr="00DA4AD6">
        <w:rPr>
          <w:rFonts w:ascii="Times New Roman" w:hAnsi="Times New Roman" w:cs="Times New Roman"/>
          <w:sz w:val="28"/>
          <w:szCs w:val="28"/>
        </w:rPr>
        <w:t>Донецко</w:t>
      </w:r>
      <w:proofErr w:type="spellEnd"/>
      <w:r w:rsidRPr="00DA4AD6">
        <w:rPr>
          <w:rFonts w:ascii="Times New Roman" w:hAnsi="Times New Roman" w:cs="Times New Roman"/>
          <w:sz w:val="28"/>
          <w:szCs w:val="28"/>
        </w:rPr>
        <w:t>-Юрьевский, Никополь-Мариупольский и др. Быстрому росту производства способствовали не только увеличение числа заводов-</w:t>
      </w:r>
      <w:r w:rsidRPr="00DA4AD6">
        <w:rPr>
          <w:rFonts w:ascii="Times New Roman" w:hAnsi="Times New Roman" w:cs="Times New Roman"/>
          <w:sz w:val="28"/>
          <w:szCs w:val="28"/>
        </w:rPr>
        <w:lastRenderedPageBreak/>
        <w:t xml:space="preserve">производителей, но и сопровождавшие его </w:t>
      </w:r>
      <w:proofErr w:type="spellStart"/>
      <w:r w:rsidRPr="00DA4AD6">
        <w:rPr>
          <w:rFonts w:ascii="Times New Roman" w:hAnsi="Times New Roman" w:cs="Times New Roman"/>
          <w:sz w:val="28"/>
          <w:szCs w:val="28"/>
        </w:rPr>
        <w:t>организационнотехнические</w:t>
      </w:r>
      <w:proofErr w:type="spellEnd"/>
      <w:r w:rsidRPr="00DA4AD6">
        <w:rPr>
          <w:rFonts w:ascii="Times New Roman" w:hAnsi="Times New Roman" w:cs="Times New Roman"/>
          <w:sz w:val="28"/>
          <w:szCs w:val="28"/>
        </w:rPr>
        <w:t xml:space="preserve"> новшества. Так, на Юге впервые появились заводы, работавшие по полному металлургическому циклу, т. е. сочетавшие и доменное, и </w:t>
      </w:r>
      <w:proofErr w:type="spellStart"/>
      <w:r w:rsidRPr="00DA4AD6">
        <w:rPr>
          <w:rFonts w:ascii="Times New Roman" w:hAnsi="Times New Roman" w:cs="Times New Roman"/>
          <w:sz w:val="28"/>
          <w:szCs w:val="28"/>
        </w:rPr>
        <w:t>сталеплавительное</w:t>
      </w:r>
      <w:proofErr w:type="spellEnd"/>
      <w:r w:rsidRPr="00DA4AD6">
        <w:rPr>
          <w:rFonts w:ascii="Times New Roman" w:hAnsi="Times New Roman" w:cs="Times New Roman"/>
          <w:sz w:val="28"/>
          <w:szCs w:val="28"/>
        </w:rPr>
        <w:t>, и прокатное производство. Во второй половине 90-х гг. свыше 60 % продукта получалось уже с помощью новейшего мартеновского способа. Появилась тенденция комбинирования горнодобывающих и металлургических предприятий, что значительно снизило транспортные расходы, улучшило координацию производственных и сбытовых операций, тем самым способствуя повышению прибыльности. Существенно улучшились позиции России в мировом производстве. По выплавке чугуна (рост которого составил 3,7 раза) в 1899 г. она заняла четвертое место среди промышленно развитых стран Запада. Российская доля в мировой металлургии повысилась с 2,5 % в 1886 г. до 7,3 % в 1900 г.</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 xml:space="preserve">Ускоренными темпами стала развиваться топливная промышленность, за 90-е гг. добыча угля увеличилась примерно в 2 раза. В нефтяной промышленности крупные компании продолжали внедрение новых технологий, и к началу XX в. Россия по добыче нефти заняла первое место в мире, обогнав США примерно на 20 %. Около трети мировой </w:t>
      </w:r>
      <w:proofErr w:type="spellStart"/>
      <w:r w:rsidRPr="00DA4AD6">
        <w:rPr>
          <w:rFonts w:ascii="Times New Roman" w:hAnsi="Times New Roman" w:cs="Times New Roman"/>
          <w:sz w:val="28"/>
          <w:szCs w:val="28"/>
        </w:rPr>
        <w:t>нефтеторговли</w:t>
      </w:r>
      <w:proofErr w:type="spellEnd"/>
      <w:r w:rsidRPr="00DA4AD6">
        <w:rPr>
          <w:rFonts w:ascii="Times New Roman" w:hAnsi="Times New Roman" w:cs="Times New Roman"/>
          <w:sz w:val="28"/>
          <w:szCs w:val="28"/>
        </w:rPr>
        <w:t xml:space="preserve"> образовывали поставки из России, за их счет Англия обеспечивала почти половину своих потребностей в керосине, Франция - более 70 %.</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В 90-е гг. XIX в. увеличились масштабы и уровень машиностроения. За 1890-1900 гг. число заводов в этой отрасли увеличилось в 2 раза, количество рабочих - в 3 раза, выпуск продукции -в 4 раза. Таким образом, приращение производства в значительной степени происходило за счет роста производительности труда, в первую очередь за счет повышения технического уровня машиностроения, увеличения мощности паровых двигателей и, соответственно, повышения энерговооруженности труда.</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Наибольшая доля прироста продукции приходилась на транспортное машиностроение (</w:t>
      </w:r>
      <w:proofErr w:type="spellStart"/>
      <w:r w:rsidRPr="00DA4AD6">
        <w:rPr>
          <w:rFonts w:ascii="Times New Roman" w:hAnsi="Times New Roman" w:cs="Times New Roman"/>
          <w:sz w:val="28"/>
          <w:szCs w:val="28"/>
        </w:rPr>
        <w:t>паровозо</w:t>
      </w:r>
      <w:proofErr w:type="spellEnd"/>
      <w:r w:rsidRPr="00DA4AD6">
        <w:rPr>
          <w:rFonts w:ascii="Times New Roman" w:hAnsi="Times New Roman" w:cs="Times New Roman"/>
          <w:sz w:val="28"/>
          <w:szCs w:val="28"/>
        </w:rPr>
        <w:t xml:space="preserve">- и вагоностроение). Наряду с транспортным машиностроением, увеличилось производство промышленного и сельскохозяйственного оборудования. Несмотря на значительный прогресс, российское машиностроение в 90-е гг. еще сильно отставало от европейского: сохранялась </w:t>
      </w:r>
      <w:proofErr w:type="spellStart"/>
      <w:r w:rsidRPr="00DA4AD6">
        <w:rPr>
          <w:rFonts w:ascii="Times New Roman" w:hAnsi="Times New Roman" w:cs="Times New Roman"/>
          <w:sz w:val="28"/>
          <w:szCs w:val="28"/>
        </w:rPr>
        <w:t>мелкосерийность</w:t>
      </w:r>
      <w:proofErr w:type="spellEnd"/>
      <w:r w:rsidRPr="00DA4AD6">
        <w:rPr>
          <w:rFonts w:ascii="Times New Roman" w:hAnsi="Times New Roman" w:cs="Times New Roman"/>
          <w:sz w:val="28"/>
          <w:szCs w:val="28"/>
        </w:rPr>
        <w:t xml:space="preserve"> производства, гораздо медленнее, чем на Западе, осваивались новые технологии и новые образцы продукции.</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Во время промышленного подъема 1890-х гг. параллельно с тяжелой активно развивалась и легкая промышленность, хотя темпы ее роста были намного меньше - 2,8 и 1,6 раза соответственно.</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Тем не менее в общей стоимости промышленной продукции легкая промышленность оставалась лидером.</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Параллельно с развитием промышленности велась и законотворческая работа по регулированию трудовых отношений. С 1890 г. фабрикант обязывался заключать с рабочими письменный договор специального образца. Было запрещено расплачиваться с рабочими хлебом, товаром, купонами и другими предметами вместо денег. Из зарплаты запрещалось производить вычеты для уплаты долгов рабочих. В 1897 г. продолжительность рабочего дня для взрослых мужчин устанавливалась в 11,5 часа, а ночная смена не должна была превышать 10 часов.</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 xml:space="preserve">Одним из важнейших достижений экономической политики, направленным на ускорение и расширение рыночного уклада, стала денежная реформа второй половины 90-х гг. XIX в. Она качественно изменила положение русской денежной единицы -рубль стал одной из </w:t>
      </w:r>
      <w:proofErr w:type="spellStart"/>
      <w:r w:rsidRPr="00DA4AD6">
        <w:rPr>
          <w:rFonts w:ascii="Times New Roman" w:hAnsi="Times New Roman" w:cs="Times New Roman"/>
          <w:sz w:val="28"/>
          <w:szCs w:val="28"/>
        </w:rPr>
        <w:t>стабильнейших</w:t>
      </w:r>
      <w:proofErr w:type="spellEnd"/>
      <w:r w:rsidRPr="00DA4AD6">
        <w:rPr>
          <w:rFonts w:ascii="Times New Roman" w:hAnsi="Times New Roman" w:cs="Times New Roman"/>
          <w:sz w:val="28"/>
          <w:szCs w:val="28"/>
        </w:rPr>
        <w:t xml:space="preserve"> валют мира. Преобразования 1895-1897 гг. явились составной частью широкой программы экономических нововведений 90-х гг. Они ускорили индустриальную модернизацию России и в последующем помогли народному хозяйству выдержать потрясения русско-японской войны и революции 1905-1907 гг. Реформа отразила острую потребность государства преодолеть очевидную архаическую замкнутость, неэластичность многих основополагающих финансовых структур и в первую очередь самого рубля. Она во многом способствовала интеграции России в систему мирового рынка.</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Сама идея укрепления рубля переходом на золотой паритет отвечала в первую очередь интересам промышленности: надежность валюты стимулировала инвестиции капиталов. Аграрному же сектору подобное преобразование не сулило в обозримом будущем никаких особых выгод и, даже наоборот, стабилизация отечественной денежной единицы, повышение ее курса неизбежно должны были привести к удорожанию экспорта. Главными же продуктами российского вывоза традиционно служили продукты сельского хозяйства, и намечаемая реформа ущемляла интересы крупных дворян-землевладельцев.</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 xml:space="preserve">Стратегической целью экономических преобразований С. Ю. Витте считал </w:t>
      </w:r>
      <w:proofErr w:type="spellStart"/>
      <w:r w:rsidRPr="00DA4AD6">
        <w:rPr>
          <w:rFonts w:ascii="Times New Roman" w:hAnsi="Times New Roman" w:cs="Times New Roman"/>
          <w:sz w:val="28"/>
          <w:szCs w:val="28"/>
        </w:rPr>
        <w:t>ускоренние</w:t>
      </w:r>
      <w:proofErr w:type="spellEnd"/>
      <w:r w:rsidRPr="00DA4AD6">
        <w:rPr>
          <w:rFonts w:ascii="Times New Roman" w:hAnsi="Times New Roman" w:cs="Times New Roman"/>
          <w:sz w:val="28"/>
          <w:szCs w:val="28"/>
        </w:rPr>
        <w:t xml:space="preserve"> промышленного развития России, являющееся залогом государственной стабильности. Предполагалось в течение примерно 10 лет догнать в промышленном отношении более развитые страны Европы, занять прочные позиции на рынках</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 xml:space="preserve">Ближнего, Среднего и Дальнего Востока. Ускоренное промышленное развитие обеспечивалось путем привлечения иностранных капиталов и накопления внутренних ресурсов, увеличения инвестирования капитала в промышленность. Требовалось создать надежную систему кредита и обеспечения гарантии иностранным вкладчикам. В конце 1890-х гг. Витте </w:t>
      </w:r>
      <w:r w:rsidRPr="00DA4AD6">
        <w:rPr>
          <w:rFonts w:ascii="Times New Roman" w:hAnsi="Times New Roman" w:cs="Times New Roman"/>
          <w:sz w:val="28"/>
          <w:szCs w:val="28"/>
        </w:rPr>
        <w:lastRenderedPageBreak/>
        <w:t>выступил за неограниченное привлечение иностранных капиталов в русскую промышленность и железнодорожное дело, называя эти средства лекарством против бедности. Однако добиться благоприятных результатов было невозможно, пока русская денежная единица не была надежно обеспечена и не являлась стабильной.</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Денежная реформа 1895-1897 гг. К числу основных предпосылок денежной реформы можно отнести следующее.</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1. Кредитный рубль, ставший основой денежного обращения еще с середины XIX в., служил объектом спекулятивных манипуляций за границей, а в Берлине даже существовала специальная «рублевая биржа». Здесь в 1888-1890 гг. курс был довольно высоким и составлял 81,8 % номинала (за 100 руб. давали 265,2 марки), но уже в 1891 г., вследствие сильного неурожая, он упал до</w:t>
      </w: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59,3 % (за 100 руб. давали уже менее 200 марок). Положение бумажных денег не было прочным и внутри страны. В 70-80-е гг. XIX в. курс в среднем составил 64,3 коп. золотом.</w:t>
      </w: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2. Во второй половине XIX в. многие западные страны (Англия, Германия, Скандинавские страны, Италия, Швейцария, Бельгия, Греция, США) перешли к золотому обращению. В России также чеканились золотые и серебряные монеты, но они практически вышли из обращения.</w:t>
      </w: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3. Господство бумажного денежного обращения негативно сказывалось на притоке капиталов в промышленность, поскольку дивиденды выплачивались в неустойчивой валюте.</w:t>
      </w: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4. Существование высокой инфляции было вызвано огромными выкупными платежами помещикам, значительные суммы из которых использовались на непроизводительное потребление. Для покрытия дефицита государственного бюджета правительство пользовалось печатным станком.</w:t>
      </w: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5. Пассивность платежного баланса и напряженность торгового баланса ограничивали взаимовыгодные экономические связи России и Запада.</w:t>
      </w: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Первоначально С. Ю. Витте был сторонником укрепления кредитного рубля посредством административного контроля. Он считал, что ужесточение надзора за обращением денег и усиление ответственности отечественных финансовых кругов за исполнение распоряжений центральной власти позволят укрепить рубль. В начале 1893 г. с этой целью был предпринят ряд шагов: запрещены сделки, основанные на курсовой разнице рубля, как и прочих ценностей, усилен контроль за биржевыми операциями в России и введен запрет на производство биржевых сделок маклерами-иностранцами. Благодаря этим решениям колебания курса стали уменьшаться. Так, если в 1891 г. в Лондоне они составляли</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28,4 %, то в 1892 г. - 8,8 %, а в 1893 г. - 5,3 %. Однако скоро стало ясно, что эти меры малоэффективны и что необходима принципиальная перестройка всей финансовой системы.</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Но</w:t>
      </w:r>
      <w:r w:rsidR="0085677E">
        <w:rPr>
          <w:rFonts w:ascii="Times New Roman" w:hAnsi="Times New Roman" w:cs="Times New Roman"/>
          <w:sz w:val="28"/>
          <w:szCs w:val="28"/>
        </w:rPr>
        <w:t>,</w:t>
      </w:r>
      <w:r w:rsidRPr="00DA4AD6">
        <w:rPr>
          <w:rFonts w:ascii="Times New Roman" w:hAnsi="Times New Roman" w:cs="Times New Roman"/>
          <w:sz w:val="28"/>
          <w:szCs w:val="28"/>
        </w:rPr>
        <w:t xml:space="preserve"> прежде чем приступать к реформированию, надо было решить ряд вопросов, прежде всего, в каком направлении осуществлять реформу - на базе монометаллизма (золото) или биметаллизма (серебро и золото). В результате дискуссий было принято решение о переходе к золотому монометаллизму. Для перехода к золотому стандарту был необходим достаточный золотой запас государства (в начале 1880-х гг. металлический золотой запас покрывал находящиеся в обращении кредитные билеты только на 15 %), на его создание и были направлены усилия Витте на посту министра финансов. С осени 1894 г. в России приступили к накоплению золотого запаса в банке, источниками пополнения которого стали: увеличение экспорта товаров, внешние займы, увеличение добычи золота и косвенных налогов.</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Большую роль в пополнении государственной казны золотом сыграли так называемые, «золотые займы». Они назывались так потому, что цены облигаций указывались в разменных на золото иностранных денежных единицах и в российских золотых рублях. Номинал каждой облигации обозначался в нескольких иностранных валютах - французских франках, английских фунтах, германских марках, голландских гульденах и др., между ними устанавливался паритет, так что владелец облигации мог получить по ней доход в любой валюте и в любой стране (не обязательно по месту приобретения). За 1889-1896 гг. было выпущено несколько таких займов, которые были успешно размещены и увеличили накопление золотого запаса. При Витте Россия получила около 3 млрд золотых руб. внешних кредитов.</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С 1894 г. на товары массового спроса - спички, керосин, табак, сахар, водку, хлопчатобумажные ткани и др. - были введены высокие акцизы, за счет чего был устранен в основном дефицит государственного бюджета. В течение 1890-х гг. косвенные налоги выросли на 42,2 %. Были также увеличены земельный налог и гербовый сбор.</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В 1895 г. по инициативе Витте в России была введена винная монополия на торговлю крепкими спиртными напитками. К началу XX в. по всей стране было построено 148 крупных казенных «винных складов». Доход от винной монополии к 1901 г. вырос в 7,5 раз. При Витте эта монополия приносила в казну до 365 млн руб. Заметно увеличилось потребление спиртных напитков населением, выросли и общие государственные доходы: в 1897 г. они составляли около 1,5 млрд руб.</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С целью увеличения добычи золота были расширены районы для частной золотопромышленности, введены налоговые льготы для предприятий, применяющих более современные методы добычи. В первой половине 1890-х гг. среднегодовая добыча золота составляла 17,2 % мировой.</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lastRenderedPageBreak/>
        <w:t>За счет указанных источников на начало 1897 г. золотой запас составлял 1 млрд 95 млн руб. Это было самое крупное в мире сосредоточение золота. Золотые запасы английского и французского банков оказались значительно меньше, переведенные на рубли они составили, соответственно, 202,6 и 478,7 млн руб. Накопление такого значительного золотого запаса позволило осуществить денежную реформу.</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Необходимой предпосылкой перехода к золотому обращению стал закон, утвержденный Николаем II 8 мая 1895 г. В нем было два основных положения: всякие дозволенные законом письменные сделки могут заключаться на российскую золотую монету; по таким сделкам уплата может производиться либо золотой монетой, либо кредитными билетами по курсу на золото в день платежа. В последующие месяцы правительство предприняло еще ряд мер, направленных на утверждение золотого эквивалента. В их числе: разрешение конторам и отделениям Государственного банка покупать золотую монету по определенному курсу, а столичным - продавать и производить платежи по тому же курсу; затем были введены правила приема Государственным банком золотой монеты на текущий счет. Вскоре эта же операция вводится и в частных коммерческих банках, объявивших, что они будут принимать золото по текущим счетам и по всем обязательствам.</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Несмотря на указанные меры, золотая монета очень медленно утверждалась в качестве приоритетного платежного средства. Это объяснялось и отсутствием привычки к ней у населения, и очевидным неудобством золотой монеты при крупных платежах и пересылке, так как не было соответствия между нарицательной и рыночной ценами. Полуимпериалы и империалы с обозначением 5 руб. и 10 руб. циркулировали по 7 руб. 50 коп</w:t>
      </w:r>
      <w:proofErr w:type="gramStart"/>
      <w:r w:rsidRPr="00DA4AD6">
        <w:rPr>
          <w:rFonts w:ascii="Times New Roman" w:hAnsi="Times New Roman" w:cs="Times New Roman"/>
          <w:sz w:val="28"/>
          <w:szCs w:val="28"/>
        </w:rPr>
        <w:t>.</w:t>
      </w:r>
      <w:proofErr w:type="gramEnd"/>
      <w:r w:rsidRPr="00DA4AD6">
        <w:rPr>
          <w:rFonts w:ascii="Times New Roman" w:hAnsi="Times New Roman" w:cs="Times New Roman"/>
          <w:sz w:val="28"/>
          <w:szCs w:val="28"/>
        </w:rPr>
        <w:t xml:space="preserve"> и 15 руб., что постоянно вызывало недоумение и многочисленные злоупотребления при расчетах. Спрос на золотую монету сдерживали и опасения того, что Государственный банк понизит курс административным путем, что приведет к финансовым потерям. Стремясь развеять подобные опасения, Государственный банк 27 сентября 1895 г. объявил, что он будет покупать и принимать золотую монету по цене не ниже 7 руб. 40 коп. за полуимпериал, а на 1896 г. покупной курс был определен в 7 руб. 50 коп. Эти решения привели к стабилизации соотношения между рублем золотым и кредитным в пропорции </w:t>
      </w:r>
      <w:proofErr w:type="gramStart"/>
      <w:r w:rsidRPr="00DA4AD6">
        <w:rPr>
          <w:rFonts w:ascii="Times New Roman" w:hAnsi="Times New Roman" w:cs="Times New Roman"/>
          <w:sz w:val="28"/>
          <w:szCs w:val="28"/>
        </w:rPr>
        <w:t>1 :</w:t>
      </w:r>
      <w:proofErr w:type="gramEnd"/>
      <w:r w:rsidRPr="00DA4AD6">
        <w:rPr>
          <w:rFonts w:ascii="Times New Roman" w:hAnsi="Times New Roman" w:cs="Times New Roman"/>
          <w:sz w:val="28"/>
          <w:szCs w:val="28"/>
        </w:rPr>
        <w:t xml:space="preserve"> 1,5. Для стабилизации рубля Министерство финансов признало необходимым девальвировать кредитную денежную единицу на основе монометаллизма. Паритет между бумажным рублем и кредитным устанавливался исходя не из нарицательного обозначения, а в соответствии с реальным курсом обращения.</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 xml:space="preserve">Введение размена рубля на драгоценный металл устанавливалось исходя из реально сложившегося и достаточно стабильного курсового соотношения: рубль кредитный - 66 2/3 коп. золотом. К 1 января 1896 г. в наличии имелось </w:t>
      </w:r>
      <w:r w:rsidRPr="00DA4AD6">
        <w:rPr>
          <w:rFonts w:ascii="Times New Roman" w:hAnsi="Times New Roman" w:cs="Times New Roman"/>
          <w:sz w:val="28"/>
          <w:szCs w:val="28"/>
        </w:rPr>
        <w:lastRenderedPageBreak/>
        <w:t xml:space="preserve">1121,3 млн кредитных руб., а золотой запас оценивался в 659,5 млн руб., из которых в разменном фонде числилось 75 млн руб. В течение 1896 г. разменный фонд был доведен до 500 млн руб. Это был рубеж, представлявшийся достаточным </w:t>
      </w:r>
      <w:proofErr w:type="spellStart"/>
      <w:r w:rsidRPr="00DA4AD6">
        <w:rPr>
          <w:rFonts w:ascii="Times New Roman" w:hAnsi="Times New Roman" w:cs="Times New Roman"/>
          <w:sz w:val="28"/>
          <w:szCs w:val="28"/>
        </w:rPr>
        <w:t>ддя</w:t>
      </w:r>
      <w:proofErr w:type="spellEnd"/>
      <w:r w:rsidRPr="00DA4AD6">
        <w:rPr>
          <w:rFonts w:ascii="Times New Roman" w:hAnsi="Times New Roman" w:cs="Times New Roman"/>
          <w:sz w:val="28"/>
          <w:szCs w:val="28"/>
        </w:rPr>
        <w:t xml:space="preserve"> развертывания обменной операции и введения золотой монеты в широкое обращение, хотя бумажные дензнаки некоторое время и сохраняли свое преобладающее влияние на денежном рынке.</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 xml:space="preserve">Решающий этап реформы денежного обращения наступил в 1897 г., когда серией именных высочайших указов законодательно были закреплены важнейшие элементы новой финансовой системы. 3 января 1877 г. последовал указ «О чеканке и выпуске в обращение золотых монет», в соответствии с которым выпускались в обращение золотые </w:t>
      </w:r>
      <w:proofErr w:type="spellStart"/>
      <w:r w:rsidRPr="00DA4AD6">
        <w:rPr>
          <w:rFonts w:ascii="Times New Roman" w:hAnsi="Times New Roman" w:cs="Times New Roman"/>
          <w:sz w:val="28"/>
          <w:szCs w:val="28"/>
        </w:rPr>
        <w:t>империальные</w:t>
      </w:r>
      <w:proofErr w:type="spellEnd"/>
      <w:r w:rsidRPr="00DA4AD6">
        <w:rPr>
          <w:rFonts w:ascii="Times New Roman" w:hAnsi="Times New Roman" w:cs="Times New Roman"/>
          <w:sz w:val="28"/>
          <w:szCs w:val="28"/>
        </w:rPr>
        <w:t xml:space="preserve"> монеты в 15 руб. и </w:t>
      </w:r>
      <w:proofErr w:type="spellStart"/>
      <w:r w:rsidRPr="00DA4AD6">
        <w:rPr>
          <w:rFonts w:ascii="Times New Roman" w:hAnsi="Times New Roman" w:cs="Times New Roman"/>
          <w:sz w:val="28"/>
          <w:szCs w:val="28"/>
        </w:rPr>
        <w:t>полуимпе-риальные</w:t>
      </w:r>
      <w:proofErr w:type="spellEnd"/>
      <w:r w:rsidRPr="00DA4AD6">
        <w:rPr>
          <w:rFonts w:ascii="Times New Roman" w:hAnsi="Times New Roman" w:cs="Times New Roman"/>
          <w:sz w:val="28"/>
          <w:szCs w:val="28"/>
        </w:rPr>
        <w:t xml:space="preserve"> в 7 руб. 50 коп. 29 августа - указ об установлении твердого основания для эмиссии кредитных билетов. Государственный банк обязывался выпускать дензнаки в соответствии с потребностями денежного обращения, но непременно под обеспечение золотом: не менее чем в половине суммы, пока общий размер эмиссии не достигнет 600 млн руб. Сверх этой нормы кредитные билеты должны обеспечиваться в пропорции рубль за рубль (один империал равен кредитным 15 рублям).</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Затем последовало распоряжение о чеканке и выпуске в обращение пятирублевой золотой монеты, равной У3 империала. В этот же день появился еще один указ, касавшийся надписи на кредитных билетах: на них теперь обозначалось обязательство государства и государственного банка непременно разменивать кредитные билеты на золото, и было установлено определение новой монеты (1 рубль -г/15 империала, содержащего 17,424 доли чистого золота). Размен билетов как государственных денежных знаков обеспечивался независимо от металлического покрытия выпусков всем достоянием государства, а кредитные билеты обращались на тех же основаниях, что и золотая монета, символом которой они служили. Достоинства кредитных билетов установлены были в 500,100, 25,10 руб., а также в 5, 3 и 1 руб.</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 xml:space="preserve">Денежная реформа была завершена в 1899 г. пересчетом таможенных пошлин на новую валюту и изданием нового монетного устава, новая редакция которого была утверждена Николаем II 7 июня 1899 г. Основные положения его сводились к следующему. Государственной денежной единицей России являлся рубль, содержавший 17,424 доли чистого золота. Золотая монета могла чеканиться как из золота, принадлежащего казне, так и из металла, предоставляемого частными лицами. Полноценная золотая монета обязательна к приему во всех платежах на неограниченную сумму. Серебряная и медная монеты изготовлялись только из металла казны и являлись вспомогательными в обращении, обязательными к приему в </w:t>
      </w:r>
      <w:r w:rsidRPr="00DA4AD6">
        <w:rPr>
          <w:rFonts w:ascii="Times New Roman" w:hAnsi="Times New Roman" w:cs="Times New Roman"/>
          <w:sz w:val="28"/>
          <w:szCs w:val="28"/>
        </w:rPr>
        <w:lastRenderedPageBreak/>
        <w:t>платежах до 25 руб. Серебряные монеты изготавливалась двоякой пробы: 900-й достоинством в 1 руб., 50 и 25 коп. и 500-й - в 20, 15, 10 и 5 коп. Медная монета чеканилась достоинством 5, 3, 2, 1, 1 /2 и 1 /4 коп. Чеканка серебряной монеты за счет частных лиц не допускалась, и выпуск ее был ограничен определенным пределом: количество ее в обращении не должно было превышать суммы в 3 руб. на каждого жителя империи. Закон требовал производить все расчеты на золотую монету и счетную единицу (рубль) и устанавливал обязательный прием полновесной золотой монеты во всех платежах на неограниченную сумму. Монетное дело в империи находилось в ведении Министерства финансов, а сама монета чеканилась на Монетном дворе в Петербурге.</w:t>
      </w:r>
    </w:p>
    <w:p w:rsidR="00DA4AD6" w:rsidRPr="00DA4AD6" w:rsidRDefault="00DA4AD6" w:rsidP="00DA4AD6">
      <w:pPr>
        <w:rPr>
          <w:rFonts w:ascii="Times New Roman" w:hAnsi="Times New Roman" w:cs="Times New Roman"/>
          <w:sz w:val="28"/>
          <w:szCs w:val="28"/>
        </w:rPr>
      </w:pPr>
    </w:p>
    <w:p w:rsidR="00DA4AD6"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Кроме золотой монеты нового образца в 15 руб., 10 руб., 7 руб. 50 коп</w:t>
      </w:r>
      <w:proofErr w:type="gramStart"/>
      <w:r w:rsidRPr="00DA4AD6">
        <w:rPr>
          <w:rFonts w:ascii="Times New Roman" w:hAnsi="Times New Roman" w:cs="Times New Roman"/>
          <w:sz w:val="28"/>
          <w:szCs w:val="28"/>
        </w:rPr>
        <w:t>.</w:t>
      </w:r>
      <w:proofErr w:type="gramEnd"/>
      <w:r w:rsidRPr="00DA4AD6">
        <w:rPr>
          <w:rFonts w:ascii="Times New Roman" w:hAnsi="Times New Roman" w:cs="Times New Roman"/>
          <w:sz w:val="28"/>
          <w:szCs w:val="28"/>
        </w:rPr>
        <w:t xml:space="preserve"> и 5 руб., обращались монеты прежнего чекана. Из них империалы (10 руб.) и полуимпериалы (5 руб.), произведенные по закону от 17 декабря 1885 г., принимались в правительственные кассы: империалы по 15 руб. и полуимпериалы по 7 руб. 50 коп., если вес первых был не менее трех золотников и одной доли, а вторых — не менее одного золотника и 48 долей. Монеты меньшего веса, а также чекана более ранних лет принимались по стоимости чистого металла. Золото довольно быстро утвердилось в качестве главного платежного средства, что способствовало прекращению колебания курса.</w:t>
      </w:r>
    </w:p>
    <w:p w:rsidR="00DA4AD6" w:rsidRPr="00DA4AD6" w:rsidRDefault="00DA4AD6" w:rsidP="00DA4AD6">
      <w:pPr>
        <w:rPr>
          <w:rFonts w:ascii="Times New Roman" w:hAnsi="Times New Roman" w:cs="Times New Roman"/>
          <w:sz w:val="28"/>
          <w:szCs w:val="28"/>
        </w:rPr>
      </w:pPr>
    </w:p>
    <w:p w:rsidR="00E02547" w:rsidRPr="00DA4AD6" w:rsidRDefault="00DA4AD6" w:rsidP="00DA4AD6">
      <w:pPr>
        <w:rPr>
          <w:rFonts w:ascii="Times New Roman" w:hAnsi="Times New Roman" w:cs="Times New Roman"/>
          <w:sz w:val="28"/>
          <w:szCs w:val="28"/>
        </w:rPr>
      </w:pPr>
      <w:r w:rsidRPr="00DA4AD6">
        <w:rPr>
          <w:rFonts w:ascii="Times New Roman" w:hAnsi="Times New Roman" w:cs="Times New Roman"/>
          <w:sz w:val="28"/>
          <w:szCs w:val="28"/>
        </w:rPr>
        <w:t>Очень быстро стали заметны результаты денежной реформы, которая дала мощный толчок частному предпринимательству в промышленности, торговле, банковском деле и других отраслях народного хозяйства, поскольку обеспечивала получение прибыли в твердой валюте. Введение золотой валюты укрепило государственные финансы и стимулировало экономическое развитие. В конце XIX в. по темпам роста промышленного производства Россия обгоняла все европейские страны. Этому в большой степени способствовал широкий приток иностранных инвестиций в индустрию страны, который, в свою очередь, был бы невозможен без стабилизации денежного обращения.</w:t>
      </w:r>
    </w:p>
    <w:sectPr w:rsidR="00E02547" w:rsidRPr="00DA4AD6" w:rsidSect="00FC3C9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D6"/>
    <w:rsid w:val="0085677E"/>
    <w:rsid w:val="00DA4AD6"/>
    <w:rsid w:val="00E02547"/>
    <w:rsid w:val="00F86A26"/>
    <w:rsid w:val="00FC3C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990226D"/>
  <w15:chartTrackingRefBased/>
  <w15:docId w15:val="{77B8EE87-DC76-B64E-BEA8-1C734B89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86A26"/>
    <w:pPr>
      <w:keepNext/>
      <w:keepLines/>
      <w:spacing w:before="240"/>
      <w:outlineLvl w:val="0"/>
    </w:pPr>
    <w:rPr>
      <w:rFonts w:ascii="Times New Roman" w:eastAsiaTheme="majorEastAsia" w:hAnsi="Times New Roman" w:cstheme="majorBidi"/>
      <w:color w:val="2F5496" w:themeColor="accent1" w:themeShade="BF"/>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6A26"/>
    <w:rPr>
      <w:rFonts w:ascii="Times New Roman" w:eastAsiaTheme="majorEastAsia" w:hAnsi="Times New Roman" w:cstheme="majorBidi"/>
      <w:color w:val="2F5496"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3379</Words>
  <Characters>19266</Characters>
  <Application>Microsoft Office Word</Application>
  <DocSecurity>0</DocSecurity>
  <Lines>160</Lines>
  <Paragraphs>45</Paragraphs>
  <ScaleCrop>false</ScaleCrop>
  <Company/>
  <LinksUpToDate>false</LinksUpToDate>
  <CharactersWithSpaces>22600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Числова</dc:creator>
  <cp:keywords/>
  <dc:description/>
  <cp:lastModifiedBy>Екатерина Числова</cp:lastModifiedBy>
  <cp:revision>2</cp:revision>
  <dcterms:created xsi:type="dcterms:W3CDTF">2024-02-13T15:44:00Z</dcterms:created>
  <dcterms:modified xsi:type="dcterms:W3CDTF">2024-02-13T15:47:00Z</dcterms:modified>
</cp:coreProperties>
</file>