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bCs/>
          <w:color w:val="1F4E79"/>
          <w:sz w:val="24"/>
          <w:szCs w:val="24"/>
        </w:rPr>
        <w:t>KATRIX</w:t>
      </w:r>
    </w:p>
    <w:p>
      <w:pPr>
        <w:pStyle w:val="Normal"/>
        <w:spacing w:before="0" w:after="240"/>
        <w:rPr/>
      </w:pPr>
      <w:r>
        <w:rPr>
          <w:b/>
          <w:bCs/>
          <w:color w:val="111111"/>
          <w:sz w:val="44"/>
          <w:szCs w:val="44"/>
        </w:rPr>
        <w:t>Propuesta de Desarrollo de Software</w:t>
      </w:r>
    </w:p>
    <w:p>
      <w:pPr>
        <w:pStyle w:val="Normal"/>
        <w:spacing w:before="0" w:after="40"/>
        <w:rPr/>
      </w:pPr>
      <w:r>
        <w:rPr>
          <w:color w:val="555555"/>
          <w:sz w:val="26"/>
          <w:szCs w:val="26"/>
        </w:rPr>
        <w:t>Sistema de Consulta de Productores Asesores de Seguros (SSN)</w:t>
      </w:r>
    </w:p>
    <w:p>
      <w:pPr>
        <w:pStyle w:val="Normal"/>
        <w:spacing w:before="0" w:after="320"/>
        <w:rPr/>
      </w:pPr>
      <w:r>
        <w:rPr>
          <w:color w:val="555555"/>
          <w:sz w:val="22"/>
          <w:szCs w:val="22"/>
        </w:rPr>
        <w:t xml:space="preserve">Preparado para: Javier Coronel </w:t>
      </w:r>
    </w:p>
    <w:p>
      <w:pPr>
        <w:pStyle w:val="Heading1"/>
        <w:rPr/>
      </w:pPr>
      <w:r>
        <w:rPr/>
        <w:t>1. Situación actual</w:t>
      </w:r>
    </w:p>
    <w:p>
      <w:pPr>
        <w:pStyle w:val="Normal"/>
        <w:spacing w:before="0" w:after="160"/>
        <w:rPr/>
      </w:pPr>
      <w:r>
        <w:rPr/>
        <w:t>Actualmente Javier cuenta con un sistema desarrollado en 2017 (“InformacionDeMatriculasV3”), del cual no se dispone del código fuente, sino únicamente del ejecutable compilado y sus librerías asociadas:</w:t>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tcPr>
          <w:p>
            <w:pPr>
              <w:pStyle w:val="Normal"/>
              <w:rPr/>
            </w:pPr>
            <w:r>
              <w:rPr>
                <w:rFonts w:eastAsia="Consolas" w:cs="Consolas" w:ascii="Consolas" w:hAnsi="Consolas"/>
                <w:sz w:val="20"/>
                <w:szCs w:val="20"/>
              </w:rPr>
              <w:t>InformacionDeMatriculas.exe</w:t>
            </w:r>
          </w:p>
        </w:tc>
      </w:tr>
      <w:tr>
        <w:trPr/>
        <w:tc>
          <w:tcPr>
            <w:tcW w:w="9360" w:type="dxa"/>
            <w:tcBorders>
              <w:top w:val="single" w:sz="2" w:space="0" w:color="CCCCCC"/>
              <w:left w:val="single" w:sz="2" w:space="0" w:color="CCCCCC"/>
              <w:bottom w:val="single" w:sz="2" w:space="0" w:color="CCCCCC"/>
              <w:right w:val="single" w:sz="2" w:space="0" w:color="CCCCCC"/>
            </w:tcBorders>
          </w:tcPr>
          <w:p>
            <w:pPr>
              <w:pStyle w:val="Normal"/>
              <w:rPr/>
            </w:pPr>
            <w:r>
              <w:rPr>
                <w:rFonts w:eastAsia="Consolas" w:cs="Consolas" w:ascii="Consolas" w:hAnsi="Consolas"/>
                <w:sz w:val="20"/>
                <w:szCs w:val="20"/>
              </w:rPr>
              <w:t>InformacionDeMatriculas.exe.config</w:t>
            </w:r>
          </w:p>
        </w:tc>
      </w:tr>
      <w:tr>
        <w:trPr/>
        <w:tc>
          <w:tcPr>
            <w:tcW w:w="9360" w:type="dxa"/>
            <w:tcBorders>
              <w:top w:val="single" w:sz="2" w:space="0" w:color="CCCCCC"/>
              <w:left w:val="single" w:sz="2" w:space="0" w:color="CCCCCC"/>
              <w:bottom w:val="single" w:sz="2" w:space="0" w:color="CCCCCC"/>
              <w:right w:val="single" w:sz="2" w:space="0" w:color="CCCCCC"/>
            </w:tcBorders>
          </w:tcPr>
          <w:p>
            <w:pPr>
              <w:pStyle w:val="Normal"/>
              <w:rPr/>
            </w:pPr>
            <w:r>
              <w:rPr>
                <w:rFonts w:eastAsia="Consolas" w:cs="Consolas" w:ascii="Consolas" w:hAnsi="Consolas"/>
                <w:sz w:val="20"/>
                <w:szCs w:val="20"/>
              </w:rPr>
              <w:t>HtmlAgilityPack.dll</w:t>
            </w:r>
          </w:p>
        </w:tc>
      </w:tr>
      <w:tr>
        <w:trPr/>
        <w:tc>
          <w:tcPr>
            <w:tcW w:w="9360" w:type="dxa"/>
            <w:tcBorders>
              <w:top w:val="single" w:sz="2" w:space="0" w:color="CCCCCC"/>
              <w:left w:val="single" w:sz="2" w:space="0" w:color="CCCCCC"/>
              <w:bottom w:val="single" w:sz="2" w:space="0" w:color="CCCCCC"/>
              <w:right w:val="single" w:sz="2" w:space="0" w:color="CCCCCC"/>
            </w:tcBorders>
          </w:tcPr>
          <w:p>
            <w:pPr>
              <w:pStyle w:val="Normal"/>
              <w:rPr/>
            </w:pPr>
            <w:r>
              <w:rPr>
                <w:rFonts w:eastAsia="Consolas" w:cs="Consolas" w:ascii="Consolas" w:hAnsi="Consolas"/>
                <w:sz w:val="20"/>
                <w:szCs w:val="20"/>
              </w:rPr>
              <w:t>ScrapySharp.Core.dll</w:t>
            </w:r>
          </w:p>
        </w:tc>
      </w:tr>
      <w:tr>
        <w:trPr/>
        <w:tc>
          <w:tcPr>
            <w:tcW w:w="9360" w:type="dxa"/>
            <w:tcBorders>
              <w:top w:val="single" w:sz="2" w:space="0" w:color="CCCCCC"/>
              <w:left w:val="single" w:sz="2" w:space="0" w:color="CCCCCC"/>
              <w:bottom w:val="single" w:sz="2" w:space="0" w:color="CCCCCC"/>
              <w:right w:val="single" w:sz="2" w:space="0" w:color="CCCCCC"/>
            </w:tcBorders>
          </w:tcPr>
          <w:p>
            <w:pPr>
              <w:pStyle w:val="Normal"/>
              <w:rPr/>
            </w:pPr>
            <w:r>
              <w:rPr>
                <w:rFonts w:eastAsia="Consolas" w:cs="Consolas" w:ascii="Consolas" w:hAnsi="Consolas"/>
                <w:sz w:val="20"/>
                <w:szCs w:val="20"/>
              </w:rPr>
              <w:t>ScrapySharpAsync.dll</w:t>
            </w:r>
          </w:p>
        </w:tc>
      </w:tr>
      <w:tr>
        <w:trPr/>
        <w:tc>
          <w:tcPr>
            <w:tcW w:w="9360" w:type="dxa"/>
            <w:tcBorders>
              <w:top w:val="single" w:sz="2" w:space="0" w:color="CCCCCC"/>
              <w:left w:val="single" w:sz="2" w:space="0" w:color="CCCCCC"/>
              <w:bottom w:val="single" w:sz="2" w:space="0" w:color="CCCCCC"/>
              <w:right w:val="single" w:sz="2" w:space="0" w:color="CCCCCC"/>
            </w:tcBorders>
          </w:tcPr>
          <w:p>
            <w:pPr>
              <w:pStyle w:val="Normal"/>
              <w:rPr/>
            </w:pPr>
            <w:r>
              <w:rPr>
                <w:rFonts w:eastAsia="Consolas" w:cs="Consolas" w:ascii="Consolas" w:hAnsi="Consolas"/>
                <w:sz w:val="20"/>
                <w:szCs w:val="20"/>
              </w:rPr>
              <w:t>FSharp.Core.dll</w:t>
            </w:r>
          </w:p>
        </w:tc>
      </w:tr>
    </w:tbl>
    <w:p>
      <w:pPr>
        <w:pStyle w:val="Normal"/>
        <w:spacing w:before="0" w:after="200"/>
        <w:rPr/>
      </w:pPr>
      <w:r>
        <w:rPr/>
      </w:r>
    </w:p>
    <w:p>
      <w:pPr>
        <w:pStyle w:val="Normal"/>
        <w:spacing w:before="0" w:after="160"/>
        <w:rPr/>
      </w:pPr>
      <w:r>
        <w:rPr/>
        <w:t>Tras analizar el funcionamiento interno del programa, se identificaron los siguientes problemas:</w:t>
      </w:r>
    </w:p>
    <w:p>
      <w:pPr>
        <w:pStyle w:val="ListParagraph"/>
        <w:numPr>
          <w:ilvl w:val="0"/>
          <w:numId w:val="3"/>
        </w:numPr>
        <w:spacing w:before="0" w:after="80"/>
        <w:rPr/>
      </w:pPr>
      <w:r>
        <w:rPr/>
        <w:t>El sistema funciona consultando, matrícula por matrícula, el sitio web ssn.gov.ar de la Superintendencia de Seguros de la Nación (SSN).</w:t>
      </w:r>
    </w:p>
    <w:p>
      <w:pPr>
        <w:pStyle w:val="ListParagraph"/>
        <w:numPr>
          <w:ilvl w:val="0"/>
          <w:numId w:val="1"/>
        </w:numPr>
        <w:spacing w:before="0" w:after="80"/>
        <w:rPr/>
      </w:pPr>
      <w:r>
        <w:rPr/>
        <w:t>Ese dominio ya no existe: la SSN migró su sitio a ssn.gob.ar, por lo que el programa no puede conectarse y deja de funcionar por completo.</w:t>
      </w:r>
    </w:p>
    <w:p>
      <w:pPr>
        <w:pStyle w:val="ListParagraph"/>
        <w:numPr>
          <w:ilvl w:val="0"/>
          <w:numId w:val="1"/>
        </w:numPr>
        <w:spacing w:before="0" w:after="80"/>
        <w:rPr/>
      </w:pPr>
      <w:r>
        <w:rPr/>
        <w:t>El programa no cuenta con ningún mecanismo de resolución de captcha, un elemento que los sitios gubernamentales suelen incorporar con el tiempo.</w:t>
      </w:r>
    </w:p>
    <w:p>
      <w:pPr>
        <w:pStyle w:val="ListParagraph"/>
        <w:numPr>
          <w:ilvl w:val="0"/>
          <w:numId w:val="1"/>
        </w:numPr>
        <w:spacing w:before="0" w:after="80"/>
        <w:rPr/>
      </w:pPr>
      <w:r>
        <w:rPr/>
        <w:t>Al no existir código fuente, no es posible repararlo, actualizarlo ni adaptarlo: cualquier corrección implica reescribir el sistema desde cero.</w:t>
      </w:r>
    </w:p>
    <w:p>
      <w:pPr>
        <w:pStyle w:val="Heading1"/>
        <w:rPr/>
      </w:pPr>
      <w:r>
        <w:rPr/>
        <w:t>2. Solución propuesta</w:t>
      </w:r>
    </w:p>
    <w:p>
      <w:pPr>
        <w:pStyle w:val="Normal"/>
        <w:spacing w:before="0" w:after="160"/>
        <w:rPr/>
      </w:pPr>
      <w:r>
        <w:rPr/>
        <w:t>En lugar de intentar reparar o parchear un sistema obsoleto y dependiente de scraping, se propone desarrollar una aplicación nueva de escritorio, moderna y autocontenida, que resuelva la misma necesidad — consultar el padrón de Productores Asesores de Seguros — de forma más simple, rápida y robusta.</w:t>
      </w:r>
    </w:p>
    <w:p>
      <w:pPr>
        <w:pStyle w:val="Heading2"/>
        <w:rPr/>
      </w:pPr>
      <w:r>
        <w:rPr/>
        <w:t>2.1 Fuente de datos principal</w:t>
      </w:r>
    </w:p>
    <w:p>
      <w:pPr>
        <w:pStyle w:val="Normal"/>
        <w:spacing w:before="0" w:after="160"/>
        <w:rPr/>
      </w:pPr>
      <w:r>
        <w:rPr/>
        <w:t>La SSN publica este mismo registro como dato abierto oficial (licencia Creative Commons, de uso libre citando la fuente), actualizado semestralmente. La nueva aplicación descargará y mantendrá este dataset en una caché local, permitiendo búsquedas instantáneas sin depender de una conexión a internet para el uso diario.</w:t>
      </w:r>
    </w:p>
    <w:p>
      <w:pPr>
        <w:pStyle w:val="Normal"/>
        <w:spacing w:before="0" w:after="160"/>
        <w:rPr/>
      </w:pPr>
      <w:r>
        <w:rPr/>
      </w:r>
    </w:p>
    <w:p>
      <w:pPr>
        <w:pStyle w:val="Normal"/>
        <w:spacing w:before="0" w:after="160"/>
        <w:rPr/>
      </w:pPr>
      <w:r>
        <w:rPr/>
        <w:t>Ventajas de este enfoque frente al sistema anterior:</w:t>
      </w:r>
    </w:p>
    <w:p>
      <w:pPr>
        <w:pStyle w:val="ListParagraph"/>
        <w:numPr>
          <w:ilvl w:val="0"/>
          <w:numId w:val="1"/>
        </w:numPr>
        <w:spacing w:before="0" w:after="80"/>
        <w:rPr/>
      </w:pPr>
      <w:r>
        <w:rPr/>
        <w:t>Sin captcha, sin esperas entre consultas y sin riesgo de bloqueo por parte del sitio de la SSN.</w:t>
      </w:r>
    </w:p>
    <w:p>
      <w:pPr>
        <w:pStyle w:val="ListParagraph"/>
        <w:numPr>
          <w:ilvl w:val="0"/>
          <w:numId w:val="1"/>
        </w:numPr>
        <w:spacing w:before="0" w:after="80"/>
        <w:rPr/>
      </w:pPr>
      <w:r>
        <w:rPr/>
        <w:t>Búsqueda instantánea por matrícula, nombre, CUIT o documento.</w:t>
      </w:r>
    </w:p>
    <w:p>
      <w:pPr>
        <w:pStyle w:val="ListParagraph"/>
        <w:numPr>
          <w:ilvl w:val="0"/>
          <w:numId w:val="1"/>
        </w:numPr>
        <w:spacing w:before="0" w:after="80"/>
        <w:rPr/>
      </w:pPr>
      <w:r>
        <w:rPr/>
        <w:t>Funcionamiento offline una vez descargado el dataset, con chequeo automático de actualizaciones al iniciar la aplicación (en segundo plano).</w:t>
      </w:r>
    </w:p>
    <w:p>
      <w:pPr>
        <w:pStyle w:val="Heading2"/>
        <w:rPr/>
      </w:pPr>
      <w:r>
        <w:rPr/>
        <w:t>2.2 Interfaz de la aplicación</w:t>
      </w:r>
    </w:p>
    <w:p>
      <w:pPr>
        <w:pStyle w:val="ListParagraph"/>
        <w:numPr>
          <w:ilvl w:val="0"/>
          <w:numId w:val="1"/>
        </w:numPr>
        <w:spacing w:before="0" w:after="80"/>
        <w:rPr/>
      </w:pPr>
      <w:r>
        <w:rPr/>
        <w:t>Aplicación de escritorio para Windows, entregada como un único archivo .exe, sin instalador, que corre en cualquier PC sin requerir instalaciones adicionales.</w:t>
      </w:r>
    </w:p>
    <w:p>
      <w:pPr>
        <w:pStyle w:val="ListParagraph"/>
        <w:numPr>
          <w:ilvl w:val="0"/>
          <w:numId w:val="1"/>
        </w:numPr>
        <w:spacing w:before="0" w:after="80"/>
        <w:rPr/>
      </w:pPr>
      <w:r>
        <w:rPr/>
        <w:t>Diseño moderno tipo Material Design, con paleta profesional acorde a una empresa de seguros.</w:t>
      </w:r>
    </w:p>
    <w:p>
      <w:pPr>
        <w:pStyle w:val="ListParagraph"/>
        <w:numPr>
          <w:ilvl w:val="0"/>
          <w:numId w:val="1"/>
        </w:numPr>
        <w:spacing w:before="0" w:after="80"/>
        <w:rPr/>
      </w:pPr>
      <w:r>
        <w:rPr/>
        <w:t>Barra de búsqueda con filtrado en tiempo real, insensible a mayúsculas y acentos.</w:t>
      </w:r>
    </w:p>
    <w:p>
      <w:pPr>
        <w:pStyle w:val="ListParagraph"/>
        <w:numPr>
          <w:ilvl w:val="0"/>
          <w:numId w:val="1"/>
        </w:numPr>
        <w:spacing w:before="0" w:after="80"/>
        <w:rPr/>
      </w:pPr>
      <w:r>
        <w:rPr/>
        <w:t>Resultados mostrados en tabla, con vista de detalle (ficha completa) por registro, incluyendo opción de copiar los datos al portapapeles.</w:t>
      </w:r>
    </w:p>
    <w:p>
      <w:pPr>
        <w:pStyle w:val="ListParagraph"/>
        <w:numPr>
          <w:ilvl w:val="0"/>
          <w:numId w:val="1"/>
        </w:numPr>
        <w:spacing w:before="0" w:after="80"/>
        <w:rPr/>
      </w:pPr>
      <w:r>
        <w:rPr/>
        <w:t>Indicador de la fecha de última actualización del dataset y referencia a la fuente oficial (SSN – Datos Abiertos).</w:t>
      </w:r>
    </w:p>
    <w:p>
      <w:pPr>
        <w:pStyle w:val="Heading2"/>
        <w:rPr/>
      </w:pPr>
      <w:r>
        <w:rPr/>
        <w:t>2.3 Mejora adicional: consulta en vivo para casos no encontrados</w:t>
      </w:r>
    </w:p>
    <w:p>
      <w:pPr>
        <w:pStyle w:val="Normal"/>
        <w:spacing w:before="0" w:after="160"/>
        <w:rPr/>
      </w:pPr>
      <w:r>
        <w:rPr/>
        <w:t>Dado que el dataset oficial se actualiza solo dos veces al año, puede haber productores registrados recientemente que todavía no figuren en él. Para esos casos, se evaluará incorporar un módulo opcional de consulta en vivo contra el sitio actual de la SSN, con resolución automática de captcha mediante CapSolver (servicio externo de resolución de captchas).</w:t>
      </w:r>
    </w:p>
    <w:p>
      <w:pPr>
        <w:pStyle w:val="Normal"/>
        <w:spacing w:before="0" w:after="160"/>
        <w:rPr/>
      </w:pPr>
      <w:r>
        <w:rPr/>
        <w:t>Consideraciones de este módulo:</w:t>
      </w:r>
    </w:p>
    <w:p>
      <w:pPr>
        <w:pStyle w:val="ListParagraph"/>
        <w:numPr>
          <w:ilvl w:val="0"/>
          <w:numId w:val="1"/>
        </w:numPr>
        <w:spacing w:before="0" w:after="80"/>
        <w:rPr/>
      </w:pPr>
      <w:r>
        <w:rPr/>
        <w:t>Es un complemento de tipo “best-effort”: si la SSN modifica nuevamente su sitio, este módulo en particular podría dejar de funcionar y requerir un ajuste aparte, no cubierto por el mantenimiento básico.</w:t>
      </w:r>
    </w:p>
    <w:p>
      <w:pPr>
        <w:pStyle w:val="ListParagraph"/>
        <w:numPr>
          <w:ilvl w:val="0"/>
          <w:numId w:val="1"/>
        </w:numPr>
        <w:spacing w:before="0" w:after="80"/>
        <w:rPr/>
      </w:pPr>
      <w:r>
        <w:rPr/>
        <w:t>Requiere que el cliente cuente con su propia cuenta y API key de CapSolver. El costo de este servicio (centavos de USD por consulta) corre por cuenta del cliente.</w:t>
      </w:r>
    </w:p>
    <w:p>
      <w:pPr>
        <w:pStyle w:val="ListParagraph"/>
        <w:numPr>
          <w:ilvl w:val="0"/>
          <w:numId w:val="1"/>
        </w:numPr>
        <w:spacing w:before="0" w:after="80"/>
        <w:rPr/>
      </w:pPr>
      <w:r>
        <w:rPr/>
        <w:t>Puede activarse o desactivarse desde la configuración de la aplicación.</w:t>
      </w:r>
    </w:p>
    <w:p>
      <w:pPr>
        <w:pStyle w:val="ListParagraph"/>
        <w:numPr>
          <w:ilvl w:val="0"/>
          <w:numId w:val="1"/>
        </w:numPr>
        <w:spacing w:before="0" w:after="80"/>
        <w:rPr/>
      </w:pPr>
      <w:r>
        <w:rPr/>
        <w:t>Antes de implementarlo, se realizará una verificación técnica para confirmar si el sitio actual de la SSN realmente requiere resolución de captcha; es posible que no sea necesario, lo cual simplificaría esta parte.</w:t>
      </w:r>
    </w:p>
    <w:p>
      <w:pPr>
        <w:pStyle w:val="Heading1"/>
        <w:rPr/>
      </w:pPr>
      <w:r>
        <w:rPr/>
        <w:t>3. Entregables</w:t>
      </w:r>
    </w:p>
    <w:p>
      <w:pPr>
        <w:pStyle w:val="ListParagraph"/>
        <w:numPr>
          <w:ilvl w:val="0"/>
          <w:numId w:val="1"/>
        </w:numPr>
        <w:spacing w:before="0" w:after="80"/>
        <w:rPr/>
      </w:pPr>
      <w:r>
        <w:rPr/>
        <w:t>Aplicación de escritorio (.exe) funcional, lista para usar en cualquier PC con Windows, sin necesidad de instalación.</w:t>
      </w:r>
    </w:p>
    <w:p>
      <w:pPr>
        <w:pStyle w:val="ListParagraph"/>
        <w:numPr>
          <w:ilvl w:val="0"/>
          <w:numId w:val="1"/>
        </w:numPr>
        <w:spacing w:before="0" w:after="80"/>
        <w:rPr/>
      </w:pPr>
      <w:r>
        <w:rPr/>
        <w:t>Dataset inicial cargado en la aplicación, junto con el mecanismo de actualización automática del mismo.</w:t>
      </w:r>
    </w:p>
    <w:p>
      <w:pPr>
        <w:pStyle w:val="ListParagraph"/>
        <w:numPr>
          <w:ilvl w:val="0"/>
          <w:numId w:val="1"/>
        </w:numPr>
        <w:spacing w:before="0" w:after="80"/>
        <w:rPr/>
      </w:pPr>
      <w:r>
        <w:rPr/>
        <w:t>Soporte inicial para validar el funcionamiento de la aplicación en el entorno real del cliente.</w:t>
      </w:r>
    </w:p>
    <w:p>
      <w:pPr>
        <w:pStyle w:val="Heading1"/>
        <w:rPr/>
      </w:pPr>
      <w:r>
        <w:rPr/>
        <w:t>4. Mantenimiento</w:t>
      </w:r>
    </w:p>
    <w:p>
      <w:pPr>
        <w:pStyle w:val="Normal"/>
        <w:spacing w:before="0" w:after="160"/>
        <w:rPr/>
      </w:pPr>
      <w:r>
        <w:rPr/>
        <w:t>Se ofrece un esquema de mantenimiento mensual que incluye:</w:t>
      </w:r>
    </w:p>
    <w:p>
      <w:pPr>
        <w:pStyle w:val="ListParagraph"/>
        <w:numPr>
          <w:ilvl w:val="0"/>
          <w:numId w:val="1"/>
        </w:numPr>
        <w:spacing w:before="0" w:after="80"/>
        <w:rPr/>
      </w:pPr>
      <w:r>
        <w:rPr/>
        <w:t>Verificación periódica de que la fuente de datos (dataset abierto de la SSN) siga funcionando correctamente.</w:t>
      </w:r>
    </w:p>
    <w:p>
      <w:pPr>
        <w:pStyle w:val="ListParagraph"/>
        <w:numPr>
          <w:ilvl w:val="0"/>
          <w:numId w:val="1"/>
        </w:numPr>
        <w:spacing w:before="0" w:after="80"/>
        <w:rPr/>
      </w:pPr>
      <w:r>
        <w:rPr/>
        <w:t>Corrección de errores menores y soporte ante consultas del usuario.</w:t>
      </w:r>
    </w:p>
    <w:p>
      <w:pPr>
        <w:pStyle w:val="ListParagraph"/>
        <w:numPr>
          <w:ilvl w:val="0"/>
          <w:numId w:val="1"/>
        </w:numPr>
        <w:spacing w:before="0" w:after="80"/>
        <w:rPr/>
      </w:pPr>
      <w:r>
        <w:rPr/>
        <w:t>Asistencia remota (vía AnyDesk o TeamViewer) para diagnóstico en caso de problemas.</w:t>
      </w:r>
    </w:p>
    <w:p>
      <w:pPr>
        <w:pStyle w:val="Normal"/>
        <w:spacing w:before="0" w:after="160"/>
        <w:rPr/>
      </w:pPr>
      <w:r>
        <w:rPr/>
        <w:t>Los cambios mayores — por ejemplo, si la SSN modifica significativamente su sitio o dataset, se solicitan nuevas funcionalidades, o es necesario reescribir el módulo de consulta en vivo — se cotizan por separado, fuera del esquema de mantenimiento básico.</w:t>
      </w:r>
    </w:p>
    <w:p>
      <w:pPr>
        <w:pStyle w:val="Heading1"/>
        <w:rPr/>
      </w:pPr>
      <w:r>
        <w:rPr/>
        <w:t>5. Actualizaciones futuras</w:t>
      </w:r>
    </w:p>
    <w:p>
      <w:pPr>
        <w:pStyle w:val="Normal"/>
        <w:spacing w:before="0" w:after="160"/>
        <w:rPr/>
      </w:pPr>
      <w:r>
        <w:rPr/>
        <w:t>Para esta primera versión, las actualizaciones de la aplicación se entregarán como un nuevo archivo .exe para reemplazar el anterior — un proceso simple, de un solo archivo, sin instalación. Un sistema de auto-actualización integrado dentro de la propia aplicación queda planteado como una mejora posible para etapas futuras, en caso de que el uso del sistema crezca y lo justifique.</w:t>
      </w:r>
    </w:p>
    <w:p>
      <w:pPr>
        <w:pStyle w:val="Normal"/>
        <w:pBdr>
          <w:top w:val="single" w:sz="6" w:space="8" w:color="CCCCCC"/>
        </w:pBdr>
        <w:spacing w:before="320" w:after="0"/>
        <w:rPr/>
      </w:pPr>
      <w:r>
        <w:rPr>
          <w:i/>
          <w:iCs/>
          <w:color w:val="888888"/>
          <w:sz w:val="18"/>
          <w:szCs w:val="18"/>
        </w:rPr>
        <w:t>Katrix – Soluciones de software a medida · katrix.com.ar</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ES" w:eastAsia="zh-CN" w:bidi="hi-IN"/>
    </w:rPr>
  </w:style>
  <w:style w:type="paragraph" w:styleId="Heading1">
    <w:name w:val="heading 1"/>
    <w:basedOn w:val="Ttulo"/>
    <w:qFormat/>
    <w:pPr>
      <w:pBdr>
        <w:bottom w:val="single" w:sz="6" w:space="1" w:color="1F4E79"/>
      </w:pBdr>
      <w:spacing w:before="320" w:after="160"/>
      <w:outlineLvl w:val="0"/>
    </w:pPr>
    <w:rPr>
      <w:rFonts w:ascii="Arial" w:hAnsi="Arial" w:eastAsia="Arial" w:cs="Arial"/>
      <w:b/>
      <w:bCs/>
      <w:color w:val="1F4E79"/>
      <w:sz w:val="32"/>
      <w:szCs w:val="32"/>
    </w:rPr>
  </w:style>
  <w:style w:type="paragraph" w:styleId="Heading2">
    <w:name w:val="heading 2"/>
    <w:basedOn w:val="Ttulo"/>
    <w:qFormat/>
    <w:pPr>
      <w:spacing w:before="200" w:after="120"/>
      <w:outlineLvl w:val="1"/>
    </w:pPr>
    <w:rPr>
      <w:rFonts w:ascii="Arial" w:hAnsi="Arial" w:eastAsia="Arial" w:cs="Arial"/>
      <w:b/>
      <w:bCs/>
      <w:color w:val="333333"/>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LibreOffice/25.2.3.2$Linux_X86_64 LibreOffice_project/520$Build-2</Application>
  <AppVersion>15.0000</AppVersion>
  <Pages>3</Pages>
  <Words>803</Words>
  <Characters>4540</Characters>
  <CharactersWithSpaces>5278</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2026-06-12T21:53:42Z</dcterms:created>
  <dc:creator>Un-named</dc:creator>
  <dc:description/>
  <dc:language>es-ES</dc:language>
  <cp:lastModifiedBy/>
  <dcterms:modified xsi:type="dcterms:W3CDTF">2026-06-12T19:07:30Z</dcterms:modified>
  <cp:revision>2</cp:revision>
  <dc:subject/>
  <dc:title/>
</cp:coreProperties>
</file>