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045" w:type="dxa"/>
        <w:jc w:val="left"/>
        <w:tblInd w:w="-14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045"/>
      </w:tblGrid>
      <w:tr>
        <w:trPr/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shd w:color="auto" w:fill="0A1133" w:val="clear"/>
          </w:tcPr>
          <w:p>
            <w:pPr>
              <w:pStyle w:val="Normal"/>
              <w:widowControl/>
              <w:suppressAutoHyphens w:val="true"/>
              <w:spacing w:before="0" w:after="0"/>
              <w:ind w:left="1450"/>
              <w:jc w:val="left"/>
              <w:rPr>
                <w:rFonts w:ascii="IBM Plex Sans" w:hAnsi="IBM Plex Sans" w:eastAsia="IBM Plex Sans" w:cs="IBM Plex Sans"/>
                <w:b/>
                <w:color w:val="F6F7F9"/>
                <w:sz w:val="48"/>
                <w:szCs w:val="48"/>
                <w:lang w:val="ru-RU"/>
              </w:rPr>
            </w:pPr>
            <w:r>
              <w:rPr>
                <w:rFonts w:eastAsia="IBM Plex Sans" w:cs="IBM Plex Sans" w:ascii="IBM Plex Sans" w:hAnsi="IBM Plex Sans"/>
                <w:b/>
                <w:color w:val="F6F7F9"/>
                <w:sz w:val="48"/>
                <w:szCs w:val="4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Roboto" w:hAnsi="Roboto" w:eastAsia="Roboto" w:cs="Roboto"/>
                <w:lang w:val="ru-RU"/>
              </w:rPr>
            </w:pPr>
            <w:r>
              <w:rPr>
                <w:rFonts w:eastAsia="Roboto" w:cs="Roboto" w:ascii="Roboto" w:hAnsi="Roboto"/>
                <w:sz w:val="22"/>
              </w:rPr>
            </w:r>
          </w:p>
        </w:tc>
      </w:tr>
    </w:tbl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7620</wp:posOffset>
            </wp:positionH>
            <wp:positionV relativeFrom="page">
              <wp:posOffset>5715</wp:posOffset>
            </wp:positionV>
            <wp:extent cx="7552690" cy="975360"/>
            <wp:effectExtent l="0" t="0" r="0" b="0"/>
            <wp:wrapNone/>
            <wp:docPr id="1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eastAsia="IBM Plex Sans Medium" w:cs="IBM Plex Sans Medium" w:ascii="IBM Plex Sans Medium" w:hAnsi="IBM Plex Sans Medium"/>
          <w:color w:val="1C4587"/>
          <w:sz w:val="44"/>
          <w:szCs w:val="44"/>
        </w:rPr>
        <w:t>ОТЧЕТ ПО РЕЗУЛЬТАТАМ ТЕСТИРОВАНИЯ САЙТА</w:t>
      </w:r>
    </w:p>
    <w:p>
      <w:pPr>
        <w:pStyle w:val="Normal"/>
        <w:jc w:val="center"/>
        <w:rPr/>
      </w:pPr>
      <w:r>
        <w:rPr>
          <w:rStyle w:val="Hyperlink"/>
          <w:rFonts w:eastAsia="IBM Plex Sans Medium" w:cs="IBM Plex Sans Medium" w:ascii="IBM Plex Sans Medium" w:hAnsi="IBM Plex Sans Medium"/>
          <w:color w:val="1C4587"/>
          <w:sz w:val="44"/>
          <w:szCs w:val="44"/>
        </w:rPr>
        <w:t>https://regoffice.senla.eu/</w:t>
      </w:r>
    </w:p>
    <w:p>
      <w:pPr>
        <w:pStyle w:val="Normal"/>
        <w:jc w:val="center"/>
        <w:rPr>
          <w:rFonts w:ascii="IBM Plex Sans Medium" w:hAnsi="IBM Plex Sans Medium" w:eastAsia="IBM Plex Sans Medium" w:cs="IBM Plex Sans Medium"/>
          <w:color w:val="1C4587"/>
          <w:lang w:val="ru-RU"/>
        </w:rPr>
      </w:pPr>
      <w:r>
        <w:rPr>
          <w:rFonts w:eastAsia="IBM Plex Sans Medium" w:cs="IBM Plex Sans Medium" w:ascii="IBM Plex Sans Medium" w:hAnsi="IBM Plex Sans Medium"/>
          <w:color w:val="1C4587"/>
          <w:sz w:val="44"/>
          <w:szCs w:val="44"/>
        </w:rPr>
        <w:t>Version 1.0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/>
      </w:pPr>
      <w:r>
        <w:rPr>
          <w:rFonts w:eastAsia="IBM Plex Sans" w:cs="IBM Plex Sans" w:ascii="IBM Plex Sans" w:hAnsi="IBM Plex Sans"/>
          <w:b/>
          <w:color w:val="073763"/>
          <w:sz w:val="28"/>
          <w:szCs w:val="28"/>
        </w:rPr>
        <w:t>Сведения о ходе испытаний</w:t>
      </w:r>
    </w:p>
    <w:p>
      <w:pPr>
        <w:pStyle w:val="Normal"/>
        <w:widowControl/>
        <w:suppressAutoHyphens w:val="true"/>
        <w:bidi w:val="0"/>
        <w:spacing w:lineRule="auto" w:line="276" w:before="100" w:after="0"/>
        <w:ind w:hanging="0" w:left="0" w:right="89"/>
        <w:jc w:val="left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  <w:t xml:space="preserve">Таблица 1. Тест-кейсы, пройденные в ходе тестирования сайта </w:t>
      </w:r>
      <w:hyperlink r:id="rId3">
        <w:r>
          <w:rPr>
            <w:rStyle w:val="Hyperlink"/>
            <w:rFonts w:eastAsia="IBM Plex Sans" w:cs="IBM Plex Sans" w:ascii="IBM Plex Sans" w:hAnsi="IBM Plex Sans"/>
            <w:color w:val="000000"/>
            <w:sz w:val="22"/>
            <w:szCs w:val="22"/>
          </w:rPr>
          <w:t>https://regoffice.senla.eu/</w:t>
        </w:r>
      </w:hyperlink>
      <w:r>
        <w:rPr>
          <w:rFonts w:eastAsia="IBM Plex Sans" w:cs="IBM Plex Sans" w:ascii="IBM Plex Sans" w:hAnsi="IBM Plex Sans"/>
          <w:color w:val="000000"/>
          <w:sz w:val="22"/>
          <w:szCs w:val="22"/>
        </w:rPr>
        <w:t xml:space="preserve"> </w:t>
      </w:r>
    </w:p>
    <w:tbl>
      <w:tblPr>
        <w:tblW w:w="10680" w:type="dxa"/>
        <w:jc w:val="left"/>
        <w:tblInd w:w="-705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20"/>
        <w:gridCol w:w="1860"/>
        <w:gridCol w:w="6930"/>
        <w:gridCol w:w="1470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rFonts w:eastAsia="IBM Plex Sans" w:cs="IBM Plex Sans"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Моуль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Наименование </w:t>
            </w:r>
            <w:r>
              <w:rPr>
                <w:rFonts w:ascii="Calibri" w:hAnsi="Calibri"/>
                <w:sz w:val="22"/>
                <w:szCs w:val="22"/>
              </w:rPr>
              <w:t>проверки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Вход в систему под ролью "Пользователь" с помощью валидных данных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данных заявителя под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"Фамилия" при авторизации с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"Имя" при авторизации с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980" w:hRule="atLeast"/>
        </w:trPr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"Отчество" при авторизации с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"Телефон" при авторизации с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паспорта" при авторизации с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"Данные заявителя"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заявителя"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983" w:hRule="atLeast"/>
        </w:trPr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"Адрес прописки" при авторизации с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Вход в систему под ролью "администратор" с помощью валидных данных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Отправка формы "Данные регистрации" с пустыми полями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"Данные регистрации"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данных регистрации под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398" w:hRule="atLeast"/>
        </w:trPr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"Телефон"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335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рождения"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регистрации"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рождения" при авторизации с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данным заявителя при выборе услуг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"Выбора услуг"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услуги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"Адрес прописки"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рождения"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различных значений в поле "Пол"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рождения" для формы "Данные гражданина"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гражданина по процессу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выбору услуг при услуге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гражданина" при выборе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услуги по процессу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услуги" при выборе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форме "Данные гражданина" при услуге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 супруга/супруги"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 супруга/супруги"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 супруга/супруги"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 супруга/супруги"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1044" w:hRule="atLeast"/>
        </w:trPr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регистрации брака" для услуги Регистрация брака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рождения супруга/супруги" для услуги Регистрация брака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услуги"  для услуги Регистрация брака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регистрации брака" для услуги Регистрация брака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рождения супруга/супруги" для услуги Регистрация брака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услуги" для услуги Регистрация брака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"Новая фамилия"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статуса заявки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"Статус заявки" для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новой заявки после процеса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гражданина по процессу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выбору услуг при услуге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гражданина" при выборе услуги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услуги по процессу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услуги" при выборе услуги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форме "Данные гражданина" при услуге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"Место рождения" для услуги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"Мать" для услуги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"Отец" для услуги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услуги"  для услуги Регистрация рождения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услуги" для услуги Регистрация рождения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статуса заявки для услуги Регистрация рождения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"Статус заявки" для услуги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новой заявки после процеса "Регистрация рождения"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гражданина по процессу "Регистрация смерти"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выбору услуг при услуге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145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гражданина" при выборе услуги "Регистрация смерти"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услуги по процессу "Регистрация смерти"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услуги" при выборе услуги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149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форме "Данные гражданина" при услуге "Регистрация брака"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"Место смерти"  для услуги "Регистрация смерти"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смерти" для услуги "Регистрация смерти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услуги"  для услуги Регистрация смерти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494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услуги" для услуги Регистрация смерти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505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смерти" для услуги Регистрация смерти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статуса заявки для услуги Регистрация смерти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"Статус заявки" для услуги "Регистрация смерти"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новой заявки после процеса "Регистрация смерти"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>
          <w:trHeight w:val="575" w:hRule="atLeast"/>
        </w:trPr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Одобрение заявки при наличии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Отклонение заявки при наличии таблицы с завками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списка заявок при наличии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Сортировка списка заявок по возрастанию и убыванию при наличии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"Администрирование заявок"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Прокрутка таблицы "Администрирование заявок" при отсутствии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Отображение данных в таблице "Администрирование заявок"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списка заявок в случае отсутствия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515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Отклонение заявки при отсутствии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Одобрение заявки при отсутствии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517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Прокрутка таблицы "Администрирование заявок" при наличии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518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Сортировка списка заявок по возрастанию и убыванию при отсутствии заявок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системы ЗАГС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Вход на сайт системы ЗАГС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251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системы ЗАГС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Переход с одного этапа регистрации на другой под ролью "Пользователь"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252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системы ЗАГС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Переход с одного этапа регистрации на другой под ролью "Администратор"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  <w:t>Рисунок 1. Диаграмма результатов выполнения тест - кейсов</w:t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3178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b/>
          <w:color w:val="073763"/>
          <w:sz w:val="28"/>
          <w:szCs w:val="28"/>
          <w:lang w:val="ru-RU"/>
        </w:rPr>
      </w:pPr>
      <w:r>
        <w:rPr>
          <w:rFonts w:eastAsia="IBM Plex Sans" w:cs="IBM Plex Sans" w:ascii="IBM Plex Sans" w:hAnsi="IBM Plex Sans"/>
          <w:b/>
          <w:color w:val="073763"/>
          <w:sz w:val="28"/>
          <w:szCs w:val="28"/>
        </w:rPr>
        <w:t>В</w:t>
      </w:r>
      <w:r>
        <w:rPr>
          <w:rFonts w:eastAsia="IBM Plex Sans" w:cs="IBM Plex Sans" w:ascii="IBM Plex Sans" w:hAnsi="IBM Plex Sans"/>
          <w:b/>
          <w:color w:val="073763"/>
          <w:sz w:val="28"/>
          <w:szCs w:val="28"/>
        </w:rPr>
        <w:t>ы</w:t>
      </w:r>
      <w:r>
        <w:rPr>
          <w:rFonts w:eastAsia="IBM Plex Sans" w:cs="IBM Plex Sans" w:ascii="IBM Plex Sans" w:hAnsi="IBM Plex Sans"/>
          <w:b/>
          <w:color w:val="073763"/>
          <w:sz w:val="28"/>
          <w:szCs w:val="28"/>
        </w:rPr>
        <w:t>воды по результатам испытания</w:t>
      </w:r>
    </w:p>
    <w:p>
      <w:pPr>
        <w:pStyle w:val="Normal"/>
        <w:rPr>
          <w:rFonts w:ascii="IBM Plex Sans" w:hAnsi="IBM Plex Sans" w:eastAsia="IBM Plex Sans" w:cs="IBM Plex Sans"/>
          <w:b/>
          <w:sz w:val="22"/>
          <w:szCs w:val="22"/>
        </w:rPr>
      </w:pPr>
      <w:r>
        <w:rPr>
          <w:rFonts w:eastAsia="IBM Plex Sans" w:cs="IBM Plex Sans" w:ascii="IBM Plex Sans" w:hAnsi="IBM Plex Sans"/>
          <w:b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https://regoffice.senla.eu/.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В период испытаний был выявлено 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100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 дефект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ов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. Список дефектов приведен в Таблице 2.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Тестирование проходило на устройстве: 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ПК  ОС: Linux Mint 22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Браузер: Google Chrome Version 130.0.6723.58 (64-bit),  тестирование веб версии сайта.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Тестирование выполнялось методом черного 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и серого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 ящика. Использовались позитивные и негативные тесты.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Тестирование выполнено на 100%, критерии завершенности достигнуты. Выполнено 100% тест кейсов.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На данном проекте использовались следующие инструменты: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1. Для создание тест кейсов - TestIt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2. Багтрекинговая система – YouTrac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k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3. Для управление проектом — Trello, 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github.</w:t>
      </w:r>
    </w:p>
    <w:p>
      <w:pPr>
        <w:pStyle w:val="Normal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</w:r>
    </w:p>
    <w:p>
      <w:pPr>
        <w:pStyle w:val="Normal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</w:r>
    </w:p>
    <w:p>
      <w:pPr>
        <w:pStyle w:val="Normal"/>
        <w:rPr>
          <w:rFonts w:ascii="IBM Plex Sans" w:hAnsi="IBM Plex Sans" w:eastAsia="IBM Plex Sans" w:cs="IBM Plex Sans"/>
          <w:b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Таблица 2. Список дефектов</w:t>
      </w:r>
    </w:p>
    <w:tbl>
      <w:tblPr>
        <w:tblW w:w="10470" w:type="dxa"/>
        <w:jc w:val="left"/>
        <w:tblInd w:w="-90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5"/>
        <w:gridCol w:w="7434"/>
        <w:gridCol w:w="1227"/>
        <w:gridCol w:w="1284"/>
      </w:tblGrid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№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  <w:b/>
              </w:rPr>
              <w:t>Краткое описание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  <w:b/>
              </w:rPr>
              <w:t>ID бага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  <w:b/>
              </w:rPr>
              <w:t>Критичность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Неверная запись вверху формы авторизации при входе с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по вводу символов поля "Адрес прописки" формы авторизации при входе с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расположение кнопок "Закрыть" и "Далее"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Неправильные ограничения по вводу в placeholder поля "Фамилия"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Неправильные ограничения по вводу в placeholder поля "Телефон"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Неправильные ограничения по вводу в placeholder поля "Номер паспорта"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 проставлена обязательность полей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"Адрес прописки" валидируется, как необязательное при авторизации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"Фамилия" формы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авторизации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цвет индикатора перехода этапов по процессу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цвет индикатора перехода этапов по процессу при авторизации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Список заявок не обновляется при добавление новой при изначальном отсутствии заявок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Blocker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название столбца "Вид услуги" таблицы "Администрирование заявок"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Список заявок не обновляется при добавление новой заявки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TES-31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Blocker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сортировка списка заявок в форме "Администрирование заявок"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TES-36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Неправильная подсветка обязательных полей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расположение кнопок "Закрыть" и "Далее"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"Номер паспорта" валидируется, как необязательное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Ввод данных в поле "Отчество" является необязательным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услуги" для услуги Регистрация смерти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"Телефон"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"Отчество" валидируется как обязательное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TES-83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TES-88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"Телефон"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"Телефон"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валидируется, как обязательное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TES-101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валидирует даты не входящие в заданный диапазон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TES-103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некорректно меняет дату при неправильном вводе даты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TES-126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TES-127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формы "Данные гражданина" валидирует даты не входящие в заданный диапазон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TES-128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выпадающий список в поле "Пол" для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Critical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В форме "Данные гражданина" отсутствует поле "Адрес прописки"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Critical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"Пол" формы "Данные гражданина" валидируется как необязательное.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Ввод данных в поле "Отчество" является необязательным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формы "Данные гражданина" валидируется в зависимости от ввода данных.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некорректно меняет дату при неправильном вводе даты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расположение кнопок "Закрыть", "Назад" и "Далее"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Кнопки навигации в форме "Данные услуги" для услуги "Регистрация брака" не выполняют условия расположения и кликабельности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текст статуса заявки в процессе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регистрации брака" валидирует даты не входящие в заданный диапазон при заполнении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 супруга/супруги" валидирует даты не входящие в заданный диапазон при заполнении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авторизации при заполнии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услуги" для услуги Регистрация брака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регистрации брака" некорректно меняет дату при неправильном вводе даты в форме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TES-180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 супруга/супруги" некорректно меняет дату при неправильном вводе даты в форме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TES-183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"Новая фамилия"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TES-199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"Новая фамилия"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Кнопки навигации в форме "Данные услуги" для услуги "Регистрация смерти" не выполняют условия расположения и кликабельности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TES-204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текст статуса заявки в процессе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"Место смерти" в форме "Данные услуги" для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авторизации при заполнии данных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смерти" валидирует даты не входящие в заданный диапазон при заполнении данных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смерти" некорректно меняет дату при неправильном вводе даты в форме данных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TES-209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Статус заявки любой услуги не обновляется при нажатии кнопки "Обновить статус"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TES-210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Blocker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"Данные услуги" для услуги регистрация брака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заполнии "Данных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TES-226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текст статуса заявки в процессе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Кнопки навигации в форме "Данные услуги" для услуги "Регистрация рождения" не выполняют условия расположения и кликабельности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услуги" для услуги Регистрация рождения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TES-233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"Отец" в форме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TES-235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"Отец" формы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TES-237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"Место рождения" в форме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"Мать" в форме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TES-241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"Мать" формы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TES-242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5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43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При отправке поля "Дата рождения" формы "Данные гражданина" через запрос API, дата в БД фиксируется на 1 день раньше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TES-278</w:t>
            </w:r>
          </w:p>
        </w:tc>
        <w:tc>
          <w:tcPr>
            <w:tcW w:w="1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</w:tbl>
    <w:p>
      <w:pPr>
        <w:pStyle w:val="Normal"/>
        <w:rPr>
          <w:rFonts w:ascii="IBM Plex Sans" w:hAnsi="IBM Plex Sans" w:eastAsia="IBM Plex Sans" w:cs="IBM Plex Sans"/>
        </w:rPr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40" w:right="1440" w:gutter="0" w:header="720" w:top="1440" w:footer="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Roboto">
    <w:charset w:val="01"/>
    <w:family w:val="roman"/>
    <w:pitch w:val="variable"/>
  </w:font>
  <w:font w:name="IBM Plex Sans Medium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6D9EEB"/>
        <w:sz w:val="20"/>
        <w:szCs w:val="20"/>
      </w:rPr>
    </w:pPr>
    <w:r>
      <w:rPr>
        <w:rFonts w:eastAsia="IBM Plex Sans" w:cs="IBM Plex Sans" w:ascii="IBM Plex Sans" w:hAnsi="IBM Plex Sans"/>
        <w:color w:val="6D9EEB"/>
        <w:sz w:val="20"/>
        <w:szCs w:val="20"/>
      </w:rP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4924425</wp:posOffset>
          </wp:positionH>
          <wp:positionV relativeFrom="paragraph">
            <wp:posOffset>-180975</wp:posOffset>
          </wp:positionV>
          <wp:extent cx="1431925" cy="367030"/>
          <wp:effectExtent l="0" t="0" r="0" b="0"/>
          <wp:wrapNone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043" t="-57165" r="-10260" b="-32118"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B7B7B7"/>
        <w:sz w:val="20"/>
        <w:szCs w:val="20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395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e6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4e6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04e6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04e6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04e6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04e6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04e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e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04e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4e6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04e6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4e6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04e6e"/>
    <w:rPr>
      <w:rFonts w:ascii="Arial" w:hAnsi="Arial" w:eastAsia="Arial" w:cs="Arial"/>
      <w:kern w:val="0"/>
      <w:lang w:val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7556"/>
    <w:rPr>
      <w:rFonts w:ascii="Arial" w:hAnsi="Arial" w:eastAsia="Arial" w:cs="Arial"/>
      <w:kern w:val="0"/>
      <w:lang w:val="ru-RU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058d"/>
    <w:rPr>
      <w:rFonts w:ascii="Consolas" w:hAnsi="Consolas" w:eastAsia="Arial" w:cs="Arial"/>
      <w:kern w:val="0"/>
      <w:sz w:val="20"/>
      <w:szCs w:val="20"/>
      <w:lang w:val="ru-RU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c4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04e6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04e6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c04e6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4e6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LO-normal" w:customStyle="1">
    <w:name w:val="LO-normal"/>
    <w:qFormat/>
    <w:rsid w:val="00c04e6e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755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058d"/>
    <w:pPr>
      <w:spacing w:lineRule="auto" w:line="240"/>
    </w:pPr>
    <w:rPr>
      <w:rFonts w:ascii="Consolas" w:hAnsi="Consolas"/>
      <w:sz w:val="20"/>
      <w:szCs w:val="2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e6e"/>
    <w:pPr>
      <w:spacing w:after="0" w:line="240" w:lineRule="auto"/>
    </w:pPr>
    <w:rPr>
      <w:lang w:val="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goffice.senla.eu/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LibreOffice/24.2.6.2$Linux_X86_64 LibreOffice_project/420$Build-2</Application>
  <AppVersion>15.0000</AppVersion>
  <Pages>12</Pages>
  <Words>2991</Words>
  <Characters>19437</Characters>
  <CharactersWithSpaces>21621</CharactersWithSpaces>
  <Paragraphs>816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2024-10-24T15:08:00Z</dcterms:created>
  <dc:creator>Aliaksandr Yaravy</dc:creator>
  <dc:description/>
  <dc:language>en-US</dc:language>
  <cp:lastModifiedBy/>
  <dcterms:modified xsi:type="dcterms:W3CDTF">2024-11-27T15:40:25Z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