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56E92D" w14:textId="77777777" w:rsidR="003D70F0" w:rsidRDefault="00803941">
      <w:pPr>
        <w:spacing w:before="120" w:after="40"/>
        <w:jc w:val="center"/>
      </w:pPr>
      <w:r>
        <w:rPr>
          <w:rFonts w:ascii="Calibri" w:eastAsia="Calibri" w:hAnsi="Calibri" w:cs="Calibri"/>
          <w:b/>
          <w:color w:val="1A1A2E"/>
          <w:sz w:val="52"/>
        </w:rPr>
        <w:t>Canadian Analyst Job Market</w:t>
      </w:r>
    </w:p>
    <w:p w14:paraId="5E3C4760" w14:textId="3945CA08" w:rsidR="003D70F0" w:rsidRDefault="00803941">
      <w:pPr>
        <w:jc w:val="center"/>
        <w:rPr>
          <w:rFonts w:ascii="Calibri" w:eastAsia="Calibri" w:hAnsi="Calibri" w:cs="Calibri"/>
          <w:i/>
          <w:color w:val="475569"/>
          <w:sz w:val="28"/>
        </w:rPr>
      </w:pPr>
      <w:r>
        <w:rPr>
          <w:rFonts w:ascii="Calibri" w:eastAsia="Calibri" w:hAnsi="Calibri" w:cs="Calibri"/>
          <w:i/>
          <w:color w:val="475569"/>
          <w:sz w:val="28"/>
        </w:rPr>
        <w:t>Salary &amp; Demand Dashboard</w:t>
      </w:r>
    </w:p>
    <w:p w14:paraId="456461C8" w14:textId="4D5DF4C1" w:rsidR="00630B43" w:rsidRPr="00630B43" w:rsidRDefault="00630B43" w:rsidP="00630B43">
      <w:pPr>
        <w:spacing w:after="40"/>
        <w:jc w:val="center"/>
        <w:rPr>
          <w:color w:val="0076A8"/>
        </w:rPr>
      </w:pPr>
      <w:r w:rsidRPr="00630B43">
        <w:rPr>
          <w:rFonts w:ascii="Calibri" w:eastAsia="Calibri" w:hAnsi="Calibri" w:cs="Calibri"/>
          <w:b/>
          <w:color w:val="0076A8"/>
          <w:sz w:val="20"/>
        </w:rPr>
        <w:t>BAM-2053  ·  DATA VISUALIZATION  ·  CAPSTONE PROPOSAL</w:t>
      </w:r>
    </w:p>
    <w:p w14:paraId="498B1A85" w14:textId="77777777" w:rsidR="003D70F0" w:rsidRDefault="003D70F0">
      <w:pPr>
        <w:pBdr>
          <w:bottom w:val="single" w:sz="12" w:space="1" w:color="1A1A2E"/>
        </w:pBdr>
        <w:spacing w:after="160"/>
        <w:jc w:val="center"/>
      </w:pPr>
    </w:p>
    <w:p w14:paraId="788548B0" w14:textId="77777777" w:rsidR="003D70F0" w:rsidRDefault="00803941">
      <w:pPr>
        <w:spacing w:after="40"/>
        <w:jc w:val="center"/>
      </w:pPr>
      <w:r>
        <w:rPr>
          <w:rFonts w:ascii="Calibri" w:eastAsia="Calibri" w:hAnsi="Calibri" w:cs="Calibri"/>
          <w:sz w:val="22"/>
        </w:rPr>
        <w:t>Andrés Camilo Cepeda Pedraza  ·  C0967286</w:t>
      </w:r>
    </w:p>
    <w:p w14:paraId="2C42891E" w14:textId="77777777" w:rsidR="003D70F0" w:rsidRDefault="00803941">
      <w:pPr>
        <w:spacing w:after="40"/>
        <w:jc w:val="center"/>
      </w:pPr>
      <w:r>
        <w:rPr>
          <w:rFonts w:ascii="Calibri" w:eastAsia="Calibri" w:hAnsi="Calibri" w:cs="Calibri"/>
          <w:sz w:val="22"/>
        </w:rPr>
        <w:t>Juan Sebastián Herrera  ·  C00965669</w:t>
      </w:r>
    </w:p>
    <w:p w14:paraId="0F92FD12" w14:textId="1B4C5256" w:rsidR="003D70F0" w:rsidRDefault="00803941">
      <w:pPr>
        <w:spacing w:after="40"/>
        <w:jc w:val="center"/>
      </w:pPr>
      <w:r>
        <w:rPr>
          <w:rFonts w:ascii="Calibri" w:eastAsia="Calibri" w:hAnsi="Calibri" w:cs="Calibri"/>
          <w:color w:val="475569"/>
          <w:sz w:val="20"/>
        </w:rPr>
        <w:t xml:space="preserve">Prof. Robert </w:t>
      </w:r>
      <w:r w:rsidR="007D6009">
        <w:rPr>
          <w:rFonts w:ascii="Calibri" w:eastAsia="Calibri" w:hAnsi="Calibri" w:cs="Calibri"/>
          <w:color w:val="475569"/>
          <w:sz w:val="20"/>
        </w:rPr>
        <w:t>Decher · Lambton</w:t>
      </w:r>
      <w:r>
        <w:rPr>
          <w:rFonts w:ascii="Calibri" w:eastAsia="Calibri" w:hAnsi="Calibri" w:cs="Calibri"/>
          <w:color w:val="475569"/>
          <w:sz w:val="20"/>
        </w:rPr>
        <w:t xml:space="preserve"> College Ottawa</w:t>
      </w:r>
    </w:p>
    <w:p w14:paraId="150365B9" w14:textId="77777777" w:rsidR="003D70F0" w:rsidRDefault="003D70F0">
      <w:pPr>
        <w:spacing w:after="80"/>
      </w:pPr>
    </w:p>
    <w:tbl>
      <w:tblPr>
        <w:tblW w:w="5000" w:type="pct"/>
        <w:tblLook w:val="04A0" w:firstRow="1" w:lastRow="0" w:firstColumn="1" w:lastColumn="0" w:noHBand="0" w:noVBand="1"/>
      </w:tblPr>
      <w:tblGrid>
        <w:gridCol w:w="1100"/>
        <w:gridCol w:w="1294"/>
        <w:gridCol w:w="1101"/>
        <w:gridCol w:w="1105"/>
      </w:tblGrid>
      <w:tr w:rsidR="003D70F0" w:rsidRPr="008831EA" w14:paraId="46CE8CBF" w14:textId="77777777" w:rsidTr="008831EA">
        <w:tc>
          <w:tcPr>
            <w:tcW w:w="1250" w:type="pct"/>
            <w:tcBorders>
              <w:top w:val="single" w:sz="4" w:space="0" w:color="E2E8F0"/>
              <w:left w:val="single" w:sz="4" w:space="0" w:color="E2E8F0"/>
              <w:bottom w:val="single" w:sz="4" w:space="0" w:color="E2E8F0"/>
              <w:right w:val="single" w:sz="4" w:space="0" w:color="E2E8F0"/>
            </w:tcBorders>
            <w:tcMar>
              <w:top w:w="120" w:type="dxa"/>
              <w:left w:w="140" w:type="dxa"/>
              <w:bottom w:w="120" w:type="dxa"/>
              <w:right w:w="140" w:type="dxa"/>
            </w:tcMar>
          </w:tcPr>
          <w:p w14:paraId="3E6216F1" w14:textId="77777777" w:rsidR="003D70F0" w:rsidRPr="008831EA" w:rsidRDefault="00803941" w:rsidP="008831EA">
            <w:pPr>
              <w:spacing w:after="40"/>
              <w:jc w:val="center"/>
              <w:rPr>
                <w:sz w:val="18"/>
                <w:szCs w:val="24"/>
              </w:rPr>
            </w:pPr>
            <w:r w:rsidRPr="008831EA">
              <w:rPr>
                <w:rFonts w:ascii="Calibri" w:eastAsia="Calibri" w:hAnsi="Calibri" w:cs="Calibri"/>
                <w:b/>
                <w:color w:val="475569"/>
                <w:sz w:val="18"/>
                <w:szCs w:val="24"/>
              </w:rPr>
              <w:t>POSTINGS</w:t>
            </w:r>
          </w:p>
          <w:p w14:paraId="5416DFE2" w14:textId="77777777" w:rsidR="003D70F0" w:rsidRPr="008831EA" w:rsidRDefault="00803941" w:rsidP="008831EA">
            <w:pPr>
              <w:spacing w:after="0"/>
              <w:jc w:val="center"/>
              <w:rPr>
                <w:sz w:val="18"/>
                <w:szCs w:val="24"/>
              </w:rPr>
            </w:pPr>
            <w:r w:rsidRPr="008831EA">
              <w:rPr>
                <w:rFonts w:ascii="Calibri" w:eastAsia="Calibri" w:hAnsi="Calibri" w:cs="Calibri"/>
                <w:b/>
                <w:color w:val="1A1A2E"/>
                <w:sz w:val="18"/>
                <w:szCs w:val="24"/>
              </w:rPr>
              <w:t>1,796</w:t>
            </w:r>
          </w:p>
          <w:p w14:paraId="0C97D41F" w14:textId="77777777" w:rsidR="003D70F0" w:rsidRPr="008831EA" w:rsidRDefault="00803941" w:rsidP="008831EA">
            <w:pPr>
              <w:spacing w:after="0"/>
              <w:jc w:val="center"/>
              <w:rPr>
                <w:sz w:val="18"/>
                <w:szCs w:val="24"/>
              </w:rPr>
            </w:pPr>
            <w:r w:rsidRPr="008831EA">
              <w:rPr>
                <w:rFonts w:ascii="Calibri" w:eastAsia="Calibri" w:hAnsi="Calibri" w:cs="Calibri"/>
                <w:color w:val="475569"/>
                <w:sz w:val="18"/>
                <w:szCs w:val="24"/>
              </w:rPr>
              <w:t>cleaned job records</w:t>
            </w:r>
          </w:p>
        </w:tc>
        <w:tc>
          <w:tcPr>
            <w:tcW w:w="1250" w:type="pct"/>
            <w:tcBorders>
              <w:top w:val="single" w:sz="4" w:space="0" w:color="E2E8F0"/>
              <w:left w:val="single" w:sz="4" w:space="0" w:color="E2E8F0"/>
              <w:bottom w:val="single" w:sz="4" w:space="0" w:color="E2E8F0"/>
              <w:right w:val="single" w:sz="4" w:space="0" w:color="E2E8F0"/>
            </w:tcBorders>
            <w:tcMar>
              <w:top w:w="120" w:type="dxa"/>
              <w:left w:w="140" w:type="dxa"/>
              <w:bottom w:w="120" w:type="dxa"/>
              <w:right w:w="140" w:type="dxa"/>
            </w:tcMar>
          </w:tcPr>
          <w:p w14:paraId="37B155C5" w14:textId="77777777" w:rsidR="003D70F0" w:rsidRPr="008831EA" w:rsidRDefault="00803941" w:rsidP="008831EA">
            <w:pPr>
              <w:spacing w:after="40"/>
              <w:jc w:val="center"/>
              <w:rPr>
                <w:sz w:val="18"/>
                <w:szCs w:val="24"/>
              </w:rPr>
            </w:pPr>
            <w:r w:rsidRPr="008831EA">
              <w:rPr>
                <w:rFonts w:ascii="Calibri" w:eastAsia="Calibri" w:hAnsi="Calibri" w:cs="Calibri"/>
                <w:b/>
                <w:color w:val="475569"/>
                <w:sz w:val="18"/>
                <w:szCs w:val="24"/>
              </w:rPr>
              <w:t>FIELDS</w:t>
            </w:r>
          </w:p>
          <w:p w14:paraId="29343C5C" w14:textId="77777777" w:rsidR="003D70F0" w:rsidRPr="008831EA" w:rsidRDefault="00803941" w:rsidP="008831EA">
            <w:pPr>
              <w:spacing w:after="0"/>
              <w:jc w:val="center"/>
              <w:rPr>
                <w:sz w:val="18"/>
                <w:szCs w:val="24"/>
              </w:rPr>
            </w:pPr>
            <w:r w:rsidRPr="008831EA">
              <w:rPr>
                <w:rFonts w:ascii="Calibri" w:eastAsia="Calibri" w:hAnsi="Calibri" w:cs="Calibri"/>
                <w:b/>
                <w:color w:val="1A1A2E"/>
                <w:sz w:val="18"/>
                <w:szCs w:val="24"/>
              </w:rPr>
              <w:t>13</w:t>
            </w:r>
          </w:p>
          <w:p w14:paraId="53FC6E70" w14:textId="77777777" w:rsidR="003D70F0" w:rsidRPr="008831EA" w:rsidRDefault="00803941" w:rsidP="008831EA">
            <w:pPr>
              <w:spacing w:after="0"/>
              <w:jc w:val="center"/>
              <w:rPr>
                <w:sz w:val="18"/>
                <w:szCs w:val="24"/>
              </w:rPr>
            </w:pPr>
            <w:r w:rsidRPr="008831EA">
              <w:rPr>
                <w:rFonts w:ascii="Calibri" w:eastAsia="Calibri" w:hAnsi="Calibri" w:cs="Calibri"/>
                <w:color w:val="475569"/>
                <w:sz w:val="18"/>
                <w:szCs w:val="24"/>
              </w:rPr>
              <w:t>after normalization</w:t>
            </w:r>
          </w:p>
        </w:tc>
        <w:tc>
          <w:tcPr>
            <w:tcW w:w="1250" w:type="pct"/>
            <w:tcBorders>
              <w:top w:val="single" w:sz="4" w:space="0" w:color="E2E8F0"/>
              <w:left w:val="single" w:sz="4" w:space="0" w:color="E2E8F0"/>
              <w:bottom w:val="single" w:sz="4" w:space="0" w:color="E2E8F0"/>
              <w:right w:val="single" w:sz="4" w:space="0" w:color="E2E8F0"/>
            </w:tcBorders>
            <w:tcMar>
              <w:top w:w="120" w:type="dxa"/>
              <w:left w:w="140" w:type="dxa"/>
              <w:bottom w:w="120" w:type="dxa"/>
              <w:right w:w="140" w:type="dxa"/>
            </w:tcMar>
          </w:tcPr>
          <w:p w14:paraId="16259070" w14:textId="77777777" w:rsidR="003D70F0" w:rsidRPr="008831EA" w:rsidRDefault="00803941" w:rsidP="008831EA">
            <w:pPr>
              <w:spacing w:after="40"/>
              <w:jc w:val="center"/>
              <w:rPr>
                <w:sz w:val="18"/>
                <w:szCs w:val="24"/>
              </w:rPr>
            </w:pPr>
            <w:r w:rsidRPr="008831EA">
              <w:rPr>
                <w:rFonts w:ascii="Calibri" w:eastAsia="Calibri" w:hAnsi="Calibri" w:cs="Calibri"/>
                <w:b/>
                <w:color w:val="475569"/>
                <w:sz w:val="18"/>
                <w:szCs w:val="24"/>
              </w:rPr>
              <w:t>SALARY RANGE</w:t>
            </w:r>
          </w:p>
          <w:p w14:paraId="3A22D2AF" w14:textId="77777777" w:rsidR="003D70F0" w:rsidRPr="008831EA" w:rsidRDefault="00803941" w:rsidP="008831EA">
            <w:pPr>
              <w:spacing w:after="0"/>
              <w:jc w:val="center"/>
              <w:rPr>
                <w:sz w:val="18"/>
                <w:szCs w:val="24"/>
              </w:rPr>
            </w:pPr>
            <w:r w:rsidRPr="008831EA">
              <w:rPr>
                <w:rFonts w:ascii="Calibri" w:eastAsia="Calibri" w:hAnsi="Calibri" w:cs="Calibri"/>
                <w:b/>
                <w:color w:val="1A1A2E"/>
                <w:sz w:val="18"/>
                <w:szCs w:val="24"/>
              </w:rPr>
              <w:t>$44–159k</w:t>
            </w:r>
          </w:p>
          <w:p w14:paraId="64F94DAD" w14:textId="77777777" w:rsidR="003D70F0" w:rsidRPr="008831EA" w:rsidRDefault="00803941" w:rsidP="008831EA">
            <w:pPr>
              <w:spacing w:after="0"/>
              <w:jc w:val="center"/>
              <w:rPr>
                <w:sz w:val="18"/>
                <w:szCs w:val="24"/>
              </w:rPr>
            </w:pPr>
            <w:r w:rsidRPr="008831EA">
              <w:rPr>
                <w:rFonts w:ascii="Calibri" w:eastAsia="Calibri" w:hAnsi="Calibri" w:cs="Calibri"/>
                <w:color w:val="475569"/>
                <w:sz w:val="18"/>
                <w:szCs w:val="24"/>
              </w:rPr>
              <w:t>avg $78,435</w:t>
            </w:r>
          </w:p>
        </w:tc>
        <w:tc>
          <w:tcPr>
            <w:tcW w:w="1250" w:type="pct"/>
            <w:tcBorders>
              <w:top w:val="single" w:sz="4" w:space="0" w:color="E2E8F0"/>
              <w:left w:val="single" w:sz="4" w:space="0" w:color="E2E8F0"/>
              <w:bottom w:val="single" w:sz="4" w:space="0" w:color="E2E8F0"/>
              <w:right w:val="single" w:sz="4" w:space="0" w:color="E2E8F0"/>
            </w:tcBorders>
            <w:tcMar>
              <w:top w:w="120" w:type="dxa"/>
              <w:left w:w="140" w:type="dxa"/>
              <w:bottom w:w="120" w:type="dxa"/>
              <w:right w:w="140" w:type="dxa"/>
            </w:tcMar>
          </w:tcPr>
          <w:p w14:paraId="4B25D856" w14:textId="77777777" w:rsidR="003D70F0" w:rsidRPr="008831EA" w:rsidRDefault="00803941" w:rsidP="008831EA">
            <w:pPr>
              <w:spacing w:after="40"/>
              <w:jc w:val="center"/>
              <w:rPr>
                <w:sz w:val="18"/>
                <w:szCs w:val="24"/>
              </w:rPr>
            </w:pPr>
            <w:r w:rsidRPr="008831EA">
              <w:rPr>
                <w:rFonts w:ascii="Calibri" w:eastAsia="Calibri" w:hAnsi="Calibri" w:cs="Calibri"/>
                <w:b/>
                <w:color w:val="475569"/>
                <w:sz w:val="18"/>
                <w:szCs w:val="24"/>
              </w:rPr>
              <w:t>COVERAGE</w:t>
            </w:r>
          </w:p>
          <w:p w14:paraId="05E94A11" w14:textId="77777777" w:rsidR="003D70F0" w:rsidRPr="008831EA" w:rsidRDefault="00803941" w:rsidP="008831EA">
            <w:pPr>
              <w:spacing w:after="0"/>
              <w:jc w:val="center"/>
              <w:rPr>
                <w:sz w:val="18"/>
                <w:szCs w:val="24"/>
              </w:rPr>
            </w:pPr>
            <w:r w:rsidRPr="008831EA">
              <w:rPr>
                <w:rFonts w:ascii="Calibri" w:eastAsia="Calibri" w:hAnsi="Calibri" w:cs="Calibri"/>
                <w:b/>
                <w:color w:val="1A1A2E"/>
                <w:sz w:val="18"/>
                <w:szCs w:val="24"/>
              </w:rPr>
              <w:t>14 prov.</w:t>
            </w:r>
          </w:p>
          <w:p w14:paraId="61CB1416" w14:textId="77777777" w:rsidR="003D70F0" w:rsidRPr="008831EA" w:rsidRDefault="00803941" w:rsidP="008831EA">
            <w:pPr>
              <w:spacing w:after="0"/>
              <w:jc w:val="center"/>
              <w:rPr>
                <w:sz w:val="18"/>
                <w:szCs w:val="24"/>
              </w:rPr>
            </w:pPr>
            <w:r w:rsidRPr="008831EA">
              <w:rPr>
                <w:rFonts w:ascii="Calibri" w:eastAsia="Calibri" w:hAnsi="Calibri" w:cs="Calibri"/>
                <w:color w:val="475569"/>
                <w:sz w:val="18"/>
                <w:szCs w:val="24"/>
              </w:rPr>
              <w:t>22 industries · 1,057 skills</w:t>
            </w:r>
          </w:p>
        </w:tc>
      </w:tr>
    </w:tbl>
    <w:p w14:paraId="7CFA65C8" w14:textId="77777777" w:rsidR="003D70F0" w:rsidRDefault="003D70F0">
      <w:pPr>
        <w:spacing w:after="120"/>
      </w:pPr>
    </w:p>
    <w:p w14:paraId="2D1FA72A" w14:textId="77777777" w:rsidR="003D70F0" w:rsidRDefault="00803941">
      <w:pPr>
        <w:spacing w:before="280" w:after="80"/>
      </w:pPr>
      <w:r w:rsidRPr="00C104F0">
        <w:rPr>
          <w:rFonts w:ascii="Consolas" w:eastAsia="Consolas" w:hAnsi="Consolas" w:cs="Consolas"/>
          <w:b/>
          <w:color w:val="005485"/>
          <w:sz w:val="22"/>
        </w:rPr>
        <w:t>01</w:t>
      </w:r>
      <w:r>
        <w:rPr>
          <w:rFonts w:ascii="Consolas" w:eastAsia="Consolas" w:hAnsi="Consolas" w:cs="Consolas"/>
          <w:b/>
          <w:color w:val="B88A00"/>
          <w:sz w:val="22"/>
        </w:rPr>
        <w:t xml:space="preserve">  </w:t>
      </w:r>
      <w:r>
        <w:rPr>
          <w:rFonts w:ascii="Calibri" w:eastAsia="Calibri" w:hAnsi="Calibri" w:cs="Calibri"/>
          <w:b/>
          <w:color w:val="1A1A2E"/>
          <w:sz w:val="28"/>
        </w:rPr>
        <w:t>Background &amp; Motivation</w:t>
      </w:r>
    </w:p>
    <w:p w14:paraId="325CB353" w14:textId="77777777" w:rsidR="003D70F0" w:rsidRDefault="003D70F0" w:rsidP="00460275">
      <w:pPr>
        <w:pBdr>
          <w:bottom w:val="single" w:sz="12" w:space="1" w:color="1A1A2E"/>
        </w:pBdr>
        <w:spacing w:after="160"/>
        <w:jc w:val="center"/>
      </w:pPr>
    </w:p>
    <w:p w14:paraId="2958526B" w14:textId="77777777" w:rsidR="003D70F0" w:rsidRDefault="00803941" w:rsidP="008831EA">
      <w:pPr>
        <w:spacing w:after="120"/>
        <w:jc w:val="both"/>
      </w:pPr>
      <w:r>
        <w:rPr>
          <w:rFonts w:eastAsia="Times New Roman" w:cs="Times New Roman"/>
        </w:rPr>
        <w:t>The Canadian analyst job market has expanded rapidly with the rise of data-driven decision-making, yet recent graduates and career-changers still lack a consolidated view of where roles are concentrated, what salaries to expect, and which skills matter mos</w:t>
      </w:r>
      <w:r>
        <w:rPr>
          <w:rFonts w:eastAsia="Times New Roman" w:cs="Times New Roman"/>
        </w:rPr>
        <w:t>t. Browsing Indeed.ca one posting at a time is slow, inconsistent, and obscures the patterns that would actually inform a career decision. Aggregated salary reports, when they exist, often miss the regional and seniority detail that determines whether a ro</w:t>
      </w:r>
      <w:r>
        <w:rPr>
          <w:rFonts w:eastAsia="Times New Roman" w:cs="Times New Roman"/>
        </w:rPr>
        <w:t xml:space="preserve">le is realistic. This project consolidates </w:t>
      </w:r>
      <w:r>
        <w:rPr>
          <w:rFonts w:eastAsia="Times New Roman" w:cs="Times New Roman"/>
          <w:b/>
          <w:color w:val="1A1A2E"/>
        </w:rPr>
        <w:t>1,796 cleaned Canadian job postings</w:t>
      </w:r>
      <w:r>
        <w:rPr>
          <w:rFonts w:eastAsia="Times New Roman" w:cs="Times New Roman"/>
        </w:rPr>
        <w:t xml:space="preserve"> across 14 provinces, 10 job-title categories, 22 industries, and 1,057 unique skill tags </w:t>
      </w:r>
      <w:r>
        <w:rPr>
          <w:rFonts w:eastAsia="Times New Roman" w:cs="Times New Roman"/>
        </w:rPr>
        <w:t>into a single interactive dashboard aimed at students and early-career analysts. Average</w:t>
      </w:r>
      <w:r>
        <w:rPr>
          <w:rFonts w:eastAsia="Times New Roman" w:cs="Times New Roman"/>
        </w:rPr>
        <w:t xml:space="preserve"> salaries span $43,720 to $158,640 and vary substantially by city, seniority, and work type, which makes the data well-suited for the comparative visualization techniques the course emphasizes.</w:t>
      </w:r>
    </w:p>
    <w:p w14:paraId="3C5E8F7D" w14:textId="77777777" w:rsidR="003D70F0" w:rsidRDefault="00803941">
      <w:pPr>
        <w:spacing w:before="280" w:after="80"/>
      </w:pPr>
      <w:r w:rsidRPr="00C104F0">
        <w:rPr>
          <w:rFonts w:ascii="Consolas" w:eastAsia="Consolas" w:hAnsi="Consolas" w:cs="Consolas"/>
          <w:b/>
          <w:color w:val="005485"/>
          <w:sz w:val="22"/>
        </w:rPr>
        <w:t>02</w:t>
      </w:r>
      <w:r>
        <w:rPr>
          <w:rFonts w:ascii="Consolas" w:eastAsia="Consolas" w:hAnsi="Consolas" w:cs="Consolas"/>
          <w:b/>
          <w:color w:val="B88A00"/>
          <w:sz w:val="22"/>
        </w:rPr>
        <w:t xml:space="preserve">  </w:t>
      </w:r>
      <w:r>
        <w:rPr>
          <w:rFonts w:ascii="Calibri" w:eastAsia="Calibri" w:hAnsi="Calibri" w:cs="Calibri"/>
          <w:b/>
          <w:color w:val="1A1A2E"/>
          <w:sz w:val="28"/>
        </w:rPr>
        <w:t>Objectives</w:t>
      </w:r>
    </w:p>
    <w:p w14:paraId="12B3863B" w14:textId="77777777" w:rsidR="003D70F0" w:rsidRPr="00460275" w:rsidRDefault="003D70F0" w:rsidP="00460275">
      <w:pPr>
        <w:pBdr>
          <w:bottom w:val="single" w:sz="12" w:space="1" w:color="1A1A2E"/>
        </w:pBdr>
        <w:spacing w:after="160"/>
        <w:jc w:val="center"/>
        <w:rPr>
          <w:color w:val="000000" w:themeColor="text1"/>
        </w:rPr>
      </w:pPr>
    </w:p>
    <w:p w14:paraId="0C31346B" w14:textId="77777777" w:rsidR="003D70F0" w:rsidRDefault="00803941" w:rsidP="008831EA">
      <w:pPr>
        <w:pStyle w:val="ListNumber"/>
        <w:spacing w:after="40"/>
        <w:jc w:val="both"/>
      </w:pPr>
      <w:r>
        <w:t>Map geographic demand hotspots by province and</w:t>
      </w:r>
      <w:r>
        <w:t xml:space="preserve"> city using a choropleth view.</w:t>
      </w:r>
    </w:p>
    <w:p w14:paraId="56B49C13" w14:textId="77777777" w:rsidR="003D70F0" w:rsidRDefault="00803941" w:rsidP="008831EA">
      <w:pPr>
        <w:pStyle w:val="ListNumber"/>
        <w:spacing w:after="40"/>
        <w:jc w:val="both"/>
      </w:pPr>
      <w:r>
        <w:t>Compare salary ranges by job title, seniority, and industry without violating the zero-baseline rule.</w:t>
      </w:r>
    </w:p>
    <w:p w14:paraId="69D46F60" w14:textId="77777777" w:rsidR="003D70F0" w:rsidRDefault="00803941" w:rsidP="008831EA">
      <w:pPr>
        <w:pStyle w:val="ListNumber"/>
        <w:spacing w:after="40"/>
        <w:jc w:val="both"/>
      </w:pPr>
      <w:r>
        <w:t>Explore how work type (In-Person / Remote / Hybrid) correlates with pay across the country.</w:t>
      </w:r>
    </w:p>
    <w:p w14:paraId="15C193FD" w14:textId="77777777" w:rsidR="003D70F0" w:rsidRDefault="00803941" w:rsidP="008831EA">
      <w:pPr>
        <w:pStyle w:val="ListNumber"/>
        <w:spacing w:after="40"/>
        <w:jc w:val="both"/>
      </w:pPr>
      <w:r>
        <w:t>Identify the most in-demand ski</w:t>
      </w:r>
      <w:r>
        <w:t>lls across analyst roles and link them to salary impact.</w:t>
      </w:r>
    </w:p>
    <w:p w14:paraId="3E5709C8" w14:textId="17F44DEF" w:rsidR="003D70F0" w:rsidRDefault="00803941" w:rsidP="008831EA">
      <w:pPr>
        <w:pStyle w:val="ListNumber"/>
        <w:spacing w:after="40"/>
        <w:jc w:val="both"/>
      </w:pPr>
      <w:r>
        <w:t>Apply course design principles</w:t>
      </w:r>
      <w:r w:rsidR="00311AE2">
        <w:t xml:space="preserve">: </w:t>
      </w:r>
      <w:r>
        <w:t>cognitive load, data-ink ratio, pre-attentive processing — to every chart.</w:t>
      </w:r>
    </w:p>
    <w:p w14:paraId="2C1F1254" w14:textId="77777777" w:rsidR="003D70F0" w:rsidRDefault="00803941">
      <w:pPr>
        <w:spacing w:before="280" w:after="80"/>
      </w:pPr>
      <w:r w:rsidRPr="00C104F0">
        <w:rPr>
          <w:rFonts w:ascii="Consolas" w:eastAsia="Consolas" w:hAnsi="Consolas" w:cs="Consolas"/>
          <w:b/>
          <w:color w:val="005485"/>
          <w:sz w:val="22"/>
        </w:rPr>
        <w:t>03</w:t>
      </w:r>
      <w:r>
        <w:rPr>
          <w:rFonts w:ascii="Consolas" w:eastAsia="Consolas" w:hAnsi="Consolas" w:cs="Consolas"/>
          <w:b/>
          <w:color w:val="B88A00"/>
          <w:sz w:val="22"/>
        </w:rPr>
        <w:t xml:space="preserve">  </w:t>
      </w:r>
      <w:r>
        <w:rPr>
          <w:rFonts w:ascii="Calibri" w:eastAsia="Calibri" w:hAnsi="Calibri" w:cs="Calibri"/>
          <w:b/>
          <w:color w:val="1A1A2E"/>
          <w:sz w:val="28"/>
        </w:rPr>
        <w:t>Preliminary Data Exploration</w:t>
      </w:r>
    </w:p>
    <w:p w14:paraId="3F0EDDBC" w14:textId="77777777" w:rsidR="003D70F0" w:rsidRDefault="003D70F0" w:rsidP="00460275">
      <w:pPr>
        <w:pBdr>
          <w:bottom w:val="single" w:sz="12" w:space="1" w:color="1A1A2E"/>
        </w:pBdr>
        <w:spacing w:after="160"/>
        <w:jc w:val="center"/>
      </w:pPr>
    </w:p>
    <w:p w14:paraId="385D3822" w14:textId="77777777" w:rsidR="003D70F0" w:rsidRDefault="00803941" w:rsidP="008831EA">
      <w:pPr>
        <w:spacing w:after="120"/>
        <w:jc w:val="both"/>
      </w:pPr>
      <w:r>
        <w:rPr>
          <w:rFonts w:eastAsia="Times New Roman" w:cs="Times New Roman"/>
        </w:rPr>
        <w:t>Early exploration already reveals patterns worth visualiz</w:t>
      </w:r>
      <w:r>
        <w:rPr>
          <w:rFonts w:eastAsia="Times New Roman" w:cs="Times New Roman"/>
        </w:rPr>
        <w:t>ing. Ontario dominates postings (53%) but Alberta shows competitive salaries despite holding only 11% of the market — a finding invisible on a simple volume bar chart. Remote roles are scarce (8%), challenging post-pandemic assumptions, and the "ANY" senio</w:t>
      </w:r>
      <w:r>
        <w:rPr>
          <w:rFonts w:eastAsia="Times New Roman" w:cs="Times New Roman"/>
        </w:rPr>
        <w:t>rity bucket covers 76% of postings. These insights justify the chart choices in Section 4.</w:t>
      </w:r>
    </w:p>
    <w:tbl>
      <w:tblPr>
        <w:tblW w:w="5000" w:type="pct"/>
        <w:jc w:val="center"/>
        <w:tblLook w:val="04A0" w:firstRow="1" w:lastRow="0" w:firstColumn="1" w:lastColumn="0" w:noHBand="0" w:noVBand="1"/>
      </w:tblPr>
      <w:tblGrid>
        <w:gridCol w:w="1133"/>
        <w:gridCol w:w="3467"/>
      </w:tblGrid>
      <w:tr w:rsidR="003D70F0" w:rsidRPr="008831EA" w14:paraId="7A5C78CE" w14:textId="77777777" w:rsidTr="008831EA">
        <w:trPr>
          <w:jc w:val="center"/>
        </w:trPr>
        <w:tc>
          <w:tcPr>
            <w:tcW w:w="1232" w:type="pct"/>
            <w:tcBorders>
              <w:top w:val="single" w:sz="4" w:space="0" w:color="E2E8F0"/>
              <w:left w:val="single" w:sz="4" w:space="0" w:color="E2E8F0"/>
              <w:bottom w:val="single" w:sz="4" w:space="0" w:color="E2E8F0"/>
              <w:right w:val="single" w:sz="4" w:space="0" w:color="E2E8F0"/>
            </w:tcBorders>
            <w:shd w:val="clear" w:color="auto" w:fill="1A1A2E"/>
            <w:tcMar>
              <w:top w:w="100" w:type="dxa"/>
              <w:left w:w="140" w:type="dxa"/>
              <w:bottom w:w="100" w:type="dxa"/>
              <w:right w:w="140" w:type="dxa"/>
            </w:tcMar>
            <w:vAlign w:val="center"/>
          </w:tcPr>
          <w:p w14:paraId="763089EB" w14:textId="77777777" w:rsidR="003D70F0" w:rsidRPr="008831EA" w:rsidRDefault="00803941" w:rsidP="008831EA">
            <w:pPr>
              <w:spacing w:after="40"/>
              <w:jc w:val="center"/>
              <w:rPr>
                <w:sz w:val="18"/>
                <w:szCs w:val="18"/>
              </w:rPr>
            </w:pPr>
            <w:r w:rsidRPr="008831EA">
              <w:rPr>
                <w:rFonts w:eastAsia="Times New Roman" w:cs="Times New Roman"/>
                <w:b/>
                <w:color w:val="FFFFFF"/>
                <w:sz w:val="18"/>
                <w:szCs w:val="18"/>
              </w:rPr>
              <w:lastRenderedPageBreak/>
              <w:t>Field</w:t>
            </w:r>
          </w:p>
        </w:tc>
        <w:tc>
          <w:tcPr>
            <w:tcW w:w="3768" w:type="pct"/>
            <w:tcBorders>
              <w:top w:val="single" w:sz="4" w:space="0" w:color="E2E8F0"/>
              <w:left w:val="single" w:sz="4" w:space="0" w:color="E2E8F0"/>
              <w:bottom w:val="single" w:sz="4" w:space="0" w:color="E2E8F0"/>
              <w:right w:val="single" w:sz="4" w:space="0" w:color="E2E8F0"/>
            </w:tcBorders>
            <w:shd w:val="clear" w:color="auto" w:fill="1A1A2E"/>
            <w:tcMar>
              <w:top w:w="100" w:type="dxa"/>
              <w:left w:w="140" w:type="dxa"/>
              <w:bottom w:w="100" w:type="dxa"/>
              <w:right w:w="140" w:type="dxa"/>
            </w:tcMar>
            <w:vAlign w:val="center"/>
          </w:tcPr>
          <w:p w14:paraId="3F27F12F" w14:textId="77777777" w:rsidR="003D70F0" w:rsidRPr="008831EA" w:rsidRDefault="00803941" w:rsidP="008831EA">
            <w:pPr>
              <w:spacing w:after="40"/>
              <w:jc w:val="center"/>
              <w:rPr>
                <w:sz w:val="18"/>
                <w:szCs w:val="18"/>
              </w:rPr>
            </w:pPr>
            <w:r w:rsidRPr="008831EA">
              <w:rPr>
                <w:rFonts w:eastAsia="Times New Roman" w:cs="Times New Roman"/>
                <w:b/>
                <w:color w:val="FFFFFF"/>
                <w:sz w:val="18"/>
                <w:szCs w:val="18"/>
              </w:rPr>
              <w:t>Key Statistics</w:t>
            </w:r>
          </w:p>
        </w:tc>
      </w:tr>
      <w:tr w:rsidR="003D70F0" w:rsidRPr="008831EA" w14:paraId="7E4AD790" w14:textId="77777777" w:rsidTr="008831EA">
        <w:trPr>
          <w:jc w:val="center"/>
        </w:trPr>
        <w:tc>
          <w:tcPr>
            <w:tcW w:w="1232" w:type="pct"/>
            <w:tcBorders>
              <w:top w:val="single" w:sz="4" w:space="0" w:color="E2E8F0"/>
              <w:left w:val="single" w:sz="4" w:space="0" w:color="E2E8F0"/>
              <w:bottom w:val="single" w:sz="4" w:space="0" w:color="E2E8F0"/>
              <w:right w:val="single" w:sz="4" w:space="0" w:color="E2E8F0"/>
            </w:tcBorders>
            <w:tcMar>
              <w:top w:w="80" w:type="dxa"/>
              <w:left w:w="140" w:type="dxa"/>
              <w:bottom w:w="80" w:type="dxa"/>
              <w:right w:w="140" w:type="dxa"/>
            </w:tcMar>
            <w:vAlign w:val="center"/>
          </w:tcPr>
          <w:p w14:paraId="489363C8" w14:textId="77777777" w:rsidR="003D70F0" w:rsidRPr="008831EA" w:rsidRDefault="00803941" w:rsidP="008831EA">
            <w:pPr>
              <w:spacing w:after="40"/>
              <w:jc w:val="center"/>
              <w:rPr>
                <w:sz w:val="18"/>
                <w:szCs w:val="18"/>
              </w:rPr>
            </w:pPr>
            <w:r w:rsidRPr="008831EA">
              <w:rPr>
                <w:rFonts w:eastAsia="Times New Roman" w:cs="Times New Roman"/>
                <w:b/>
                <w:color w:val="1A1A2E"/>
                <w:sz w:val="18"/>
                <w:szCs w:val="18"/>
              </w:rPr>
              <w:t>Province</w:t>
            </w:r>
          </w:p>
        </w:tc>
        <w:tc>
          <w:tcPr>
            <w:tcW w:w="3768" w:type="pct"/>
            <w:tcBorders>
              <w:top w:val="single" w:sz="4" w:space="0" w:color="E2E8F0"/>
              <w:left w:val="single" w:sz="4" w:space="0" w:color="E2E8F0"/>
              <w:bottom w:val="single" w:sz="4" w:space="0" w:color="E2E8F0"/>
              <w:right w:val="single" w:sz="4" w:space="0" w:color="E2E8F0"/>
            </w:tcBorders>
            <w:tcMar>
              <w:top w:w="80" w:type="dxa"/>
              <w:left w:w="140" w:type="dxa"/>
              <w:bottom w:w="80" w:type="dxa"/>
              <w:right w:w="140" w:type="dxa"/>
            </w:tcMar>
            <w:vAlign w:val="center"/>
          </w:tcPr>
          <w:p w14:paraId="5967CDB1" w14:textId="77777777" w:rsidR="003D70F0" w:rsidRPr="008831EA" w:rsidRDefault="00803941" w:rsidP="008831EA">
            <w:pPr>
              <w:spacing w:after="40"/>
              <w:jc w:val="both"/>
              <w:rPr>
                <w:sz w:val="18"/>
                <w:szCs w:val="18"/>
              </w:rPr>
            </w:pPr>
            <w:r w:rsidRPr="008831EA">
              <w:rPr>
                <w:rFonts w:eastAsia="Times New Roman" w:cs="Times New Roman"/>
                <w:sz w:val="18"/>
                <w:szCs w:val="18"/>
              </w:rPr>
              <w:t>14 provinces · Ontario 53%, BC 14%, Alberta 11%</w:t>
            </w:r>
          </w:p>
        </w:tc>
      </w:tr>
      <w:tr w:rsidR="003D70F0" w:rsidRPr="008831EA" w14:paraId="2AB3E4EB" w14:textId="77777777" w:rsidTr="008831EA">
        <w:trPr>
          <w:jc w:val="center"/>
        </w:trPr>
        <w:tc>
          <w:tcPr>
            <w:tcW w:w="1232" w:type="pct"/>
            <w:tcBorders>
              <w:top w:val="single" w:sz="4" w:space="0" w:color="E2E8F0"/>
              <w:left w:val="single" w:sz="4" w:space="0" w:color="E2E8F0"/>
              <w:bottom w:val="single" w:sz="4" w:space="0" w:color="E2E8F0"/>
              <w:right w:val="single" w:sz="4" w:space="0" w:color="E2E8F0"/>
            </w:tcBorders>
            <w:tcMar>
              <w:top w:w="80" w:type="dxa"/>
              <w:left w:w="140" w:type="dxa"/>
              <w:bottom w:w="80" w:type="dxa"/>
              <w:right w:w="140" w:type="dxa"/>
            </w:tcMar>
            <w:vAlign w:val="center"/>
          </w:tcPr>
          <w:p w14:paraId="183CAE78" w14:textId="77777777" w:rsidR="003D70F0" w:rsidRPr="008831EA" w:rsidRDefault="00803941" w:rsidP="008831EA">
            <w:pPr>
              <w:spacing w:after="40"/>
              <w:jc w:val="center"/>
              <w:rPr>
                <w:sz w:val="18"/>
                <w:szCs w:val="18"/>
              </w:rPr>
            </w:pPr>
            <w:r w:rsidRPr="008831EA">
              <w:rPr>
                <w:rFonts w:eastAsia="Times New Roman" w:cs="Times New Roman"/>
                <w:b/>
                <w:color w:val="1A1A2E"/>
                <w:sz w:val="18"/>
                <w:szCs w:val="18"/>
              </w:rPr>
              <w:t>Job Title</w:t>
            </w:r>
          </w:p>
        </w:tc>
        <w:tc>
          <w:tcPr>
            <w:tcW w:w="3768" w:type="pct"/>
            <w:tcBorders>
              <w:top w:val="single" w:sz="4" w:space="0" w:color="E2E8F0"/>
              <w:left w:val="single" w:sz="4" w:space="0" w:color="E2E8F0"/>
              <w:bottom w:val="single" w:sz="4" w:space="0" w:color="E2E8F0"/>
              <w:right w:val="single" w:sz="4" w:space="0" w:color="E2E8F0"/>
            </w:tcBorders>
            <w:tcMar>
              <w:top w:w="80" w:type="dxa"/>
              <w:left w:w="140" w:type="dxa"/>
              <w:bottom w:w="80" w:type="dxa"/>
              <w:right w:w="140" w:type="dxa"/>
            </w:tcMar>
            <w:vAlign w:val="center"/>
          </w:tcPr>
          <w:p w14:paraId="6AFDEE82" w14:textId="77777777" w:rsidR="003D70F0" w:rsidRPr="008831EA" w:rsidRDefault="00803941" w:rsidP="008831EA">
            <w:pPr>
              <w:spacing w:after="40"/>
              <w:jc w:val="both"/>
              <w:rPr>
                <w:sz w:val="18"/>
                <w:szCs w:val="18"/>
              </w:rPr>
            </w:pPr>
            <w:r w:rsidRPr="008831EA">
              <w:rPr>
                <w:rFonts w:eastAsia="Times New Roman" w:cs="Times New Roman"/>
                <w:sz w:val="18"/>
                <w:szCs w:val="18"/>
              </w:rPr>
              <w:t>10 categories · top: Senior Supply Chain (262), BI Analysts (229)</w:t>
            </w:r>
          </w:p>
        </w:tc>
      </w:tr>
      <w:tr w:rsidR="003D70F0" w:rsidRPr="008831EA" w14:paraId="3F3090E3" w14:textId="77777777" w:rsidTr="008831EA">
        <w:trPr>
          <w:jc w:val="center"/>
        </w:trPr>
        <w:tc>
          <w:tcPr>
            <w:tcW w:w="1232" w:type="pct"/>
            <w:tcBorders>
              <w:top w:val="single" w:sz="4" w:space="0" w:color="E2E8F0"/>
              <w:left w:val="single" w:sz="4" w:space="0" w:color="E2E8F0"/>
              <w:bottom w:val="single" w:sz="4" w:space="0" w:color="E2E8F0"/>
              <w:right w:val="single" w:sz="4" w:space="0" w:color="E2E8F0"/>
            </w:tcBorders>
            <w:tcMar>
              <w:top w:w="80" w:type="dxa"/>
              <w:left w:w="140" w:type="dxa"/>
              <w:bottom w:w="80" w:type="dxa"/>
              <w:right w:w="140" w:type="dxa"/>
            </w:tcMar>
            <w:vAlign w:val="center"/>
          </w:tcPr>
          <w:p w14:paraId="5261D03B" w14:textId="77777777" w:rsidR="003D70F0" w:rsidRPr="008831EA" w:rsidRDefault="00803941" w:rsidP="008831EA">
            <w:pPr>
              <w:spacing w:after="40"/>
              <w:jc w:val="center"/>
              <w:rPr>
                <w:sz w:val="18"/>
                <w:szCs w:val="18"/>
              </w:rPr>
            </w:pPr>
            <w:r w:rsidRPr="008831EA">
              <w:rPr>
                <w:rFonts w:eastAsia="Times New Roman" w:cs="Times New Roman"/>
                <w:b/>
                <w:color w:val="1A1A2E"/>
                <w:sz w:val="18"/>
                <w:szCs w:val="18"/>
              </w:rPr>
              <w:t>Seniority</w:t>
            </w:r>
          </w:p>
        </w:tc>
        <w:tc>
          <w:tcPr>
            <w:tcW w:w="3768" w:type="pct"/>
            <w:tcBorders>
              <w:top w:val="single" w:sz="4" w:space="0" w:color="E2E8F0"/>
              <w:left w:val="single" w:sz="4" w:space="0" w:color="E2E8F0"/>
              <w:bottom w:val="single" w:sz="4" w:space="0" w:color="E2E8F0"/>
              <w:right w:val="single" w:sz="4" w:space="0" w:color="E2E8F0"/>
            </w:tcBorders>
            <w:tcMar>
              <w:top w:w="80" w:type="dxa"/>
              <w:left w:w="140" w:type="dxa"/>
              <w:bottom w:w="80" w:type="dxa"/>
              <w:right w:w="140" w:type="dxa"/>
            </w:tcMar>
            <w:vAlign w:val="center"/>
          </w:tcPr>
          <w:p w14:paraId="0D7E3E81" w14:textId="77777777" w:rsidR="003D70F0" w:rsidRPr="008831EA" w:rsidRDefault="00803941" w:rsidP="008831EA">
            <w:pPr>
              <w:spacing w:after="40"/>
              <w:jc w:val="both"/>
              <w:rPr>
                <w:sz w:val="18"/>
                <w:szCs w:val="18"/>
              </w:rPr>
            </w:pPr>
            <w:r w:rsidRPr="008831EA">
              <w:rPr>
                <w:rFonts w:eastAsia="Times New Roman" w:cs="Times New Roman"/>
                <w:sz w:val="18"/>
                <w:szCs w:val="18"/>
              </w:rPr>
              <w:t>ANY 76% · Senior 20% · Mid 2%</w:t>
            </w:r>
          </w:p>
        </w:tc>
      </w:tr>
      <w:tr w:rsidR="003D70F0" w:rsidRPr="008831EA" w14:paraId="572BA231" w14:textId="77777777" w:rsidTr="008831EA">
        <w:trPr>
          <w:jc w:val="center"/>
        </w:trPr>
        <w:tc>
          <w:tcPr>
            <w:tcW w:w="1232" w:type="pct"/>
            <w:tcBorders>
              <w:top w:val="single" w:sz="4" w:space="0" w:color="E2E8F0"/>
              <w:left w:val="single" w:sz="4" w:space="0" w:color="E2E8F0"/>
              <w:bottom w:val="single" w:sz="4" w:space="0" w:color="E2E8F0"/>
              <w:right w:val="single" w:sz="4" w:space="0" w:color="E2E8F0"/>
            </w:tcBorders>
            <w:tcMar>
              <w:top w:w="80" w:type="dxa"/>
              <w:left w:w="140" w:type="dxa"/>
              <w:bottom w:w="80" w:type="dxa"/>
              <w:right w:w="140" w:type="dxa"/>
            </w:tcMar>
            <w:vAlign w:val="center"/>
          </w:tcPr>
          <w:p w14:paraId="45332CE1" w14:textId="77777777" w:rsidR="003D70F0" w:rsidRPr="008831EA" w:rsidRDefault="00803941" w:rsidP="008831EA">
            <w:pPr>
              <w:spacing w:after="40"/>
              <w:jc w:val="center"/>
              <w:rPr>
                <w:sz w:val="18"/>
                <w:szCs w:val="18"/>
              </w:rPr>
            </w:pPr>
            <w:r w:rsidRPr="008831EA">
              <w:rPr>
                <w:rFonts w:eastAsia="Times New Roman" w:cs="Times New Roman"/>
                <w:b/>
                <w:color w:val="1A1A2E"/>
                <w:sz w:val="18"/>
                <w:szCs w:val="18"/>
              </w:rPr>
              <w:t>Work Type</w:t>
            </w:r>
          </w:p>
        </w:tc>
        <w:tc>
          <w:tcPr>
            <w:tcW w:w="3768" w:type="pct"/>
            <w:tcBorders>
              <w:top w:val="single" w:sz="4" w:space="0" w:color="E2E8F0"/>
              <w:left w:val="single" w:sz="4" w:space="0" w:color="E2E8F0"/>
              <w:bottom w:val="single" w:sz="4" w:space="0" w:color="E2E8F0"/>
              <w:right w:val="single" w:sz="4" w:space="0" w:color="E2E8F0"/>
            </w:tcBorders>
            <w:tcMar>
              <w:top w:w="80" w:type="dxa"/>
              <w:left w:w="140" w:type="dxa"/>
              <w:bottom w:w="80" w:type="dxa"/>
              <w:right w:w="140" w:type="dxa"/>
            </w:tcMar>
            <w:vAlign w:val="center"/>
          </w:tcPr>
          <w:p w14:paraId="574D9A77" w14:textId="77777777" w:rsidR="003D70F0" w:rsidRPr="008831EA" w:rsidRDefault="00803941" w:rsidP="008831EA">
            <w:pPr>
              <w:spacing w:after="40"/>
              <w:jc w:val="both"/>
              <w:rPr>
                <w:sz w:val="18"/>
                <w:szCs w:val="18"/>
              </w:rPr>
            </w:pPr>
            <w:r w:rsidRPr="008831EA">
              <w:rPr>
                <w:rFonts w:eastAsia="Times New Roman" w:cs="Times New Roman"/>
                <w:sz w:val="18"/>
                <w:szCs w:val="18"/>
              </w:rPr>
              <w:t>In-Person 91% · Remote 8% · Hybrid 1%</w:t>
            </w:r>
          </w:p>
        </w:tc>
      </w:tr>
      <w:tr w:rsidR="003D70F0" w:rsidRPr="008831EA" w14:paraId="6B2C23FE" w14:textId="77777777" w:rsidTr="008831EA">
        <w:trPr>
          <w:jc w:val="center"/>
        </w:trPr>
        <w:tc>
          <w:tcPr>
            <w:tcW w:w="1232" w:type="pct"/>
            <w:tcBorders>
              <w:top w:val="single" w:sz="4" w:space="0" w:color="E2E8F0"/>
              <w:left w:val="single" w:sz="4" w:space="0" w:color="E2E8F0"/>
              <w:bottom w:val="single" w:sz="4" w:space="0" w:color="E2E8F0"/>
              <w:right w:val="single" w:sz="4" w:space="0" w:color="E2E8F0"/>
            </w:tcBorders>
            <w:tcMar>
              <w:top w:w="80" w:type="dxa"/>
              <w:left w:w="140" w:type="dxa"/>
              <w:bottom w:w="80" w:type="dxa"/>
              <w:right w:w="140" w:type="dxa"/>
            </w:tcMar>
            <w:vAlign w:val="center"/>
          </w:tcPr>
          <w:p w14:paraId="3FFA1F45" w14:textId="77777777" w:rsidR="003D70F0" w:rsidRPr="008831EA" w:rsidRDefault="00803941" w:rsidP="008831EA">
            <w:pPr>
              <w:spacing w:after="40"/>
              <w:jc w:val="center"/>
              <w:rPr>
                <w:sz w:val="18"/>
                <w:szCs w:val="18"/>
              </w:rPr>
            </w:pPr>
            <w:r w:rsidRPr="008831EA">
              <w:rPr>
                <w:rFonts w:eastAsia="Times New Roman" w:cs="Times New Roman"/>
                <w:b/>
                <w:color w:val="1A1A2E"/>
                <w:sz w:val="18"/>
                <w:szCs w:val="18"/>
              </w:rPr>
              <w:t>Industry</w:t>
            </w:r>
          </w:p>
        </w:tc>
        <w:tc>
          <w:tcPr>
            <w:tcW w:w="3768" w:type="pct"/>
            <w:tcBorders>
              <w:top w:val="single" w:sz="4" w:space="0" w:color="E2E8F0"/>
              <w:left w:val="single" w:sz="4" w:space="0" w:color="E2E8F0"/>
              <w:bottom w:val="single" w:sz="4" w:space="0" w:color="E2E8F0"/>
              <w:right w:val="single" w:sz="4" w:space="0" w:color="E2E8F0"/>
            </w:tcBorders>
            <w:tcMar>
              <w:top w:w="80" w:type="dxa"/>
              <w:left w:w="140" w:type="dxa"/>
              <w:bottom w:w="80" w:type="dxa"/>
              <w:right w:w="140" w:type="dxa"/>
            </w:tcMar>
            <w:vAlign w:val="center"/>
          </w:tcPr>
          <w:p w14:paraId="798E825D" w14:textId="77777777" w:rsidR="003D70F0" w:rsidRPr="008831EA" w:rsidRDefault="00803941" w:rsidP="008831EA">
            <w:pPr>
              <w:spacing w:after="40"/>
              <w:jc w:val="both"/>
              <w:rPr>
                <w:sz w:val="18"/>
                <w:szCs w:val="18"/>
              </w:rPr>
            </w:pPr>
            <w:r w:rsidRPr="008831EA">
              <w:rPr>
                <w:rFonts w:eastAsia="Times New Roman" w:cs="Times New Roman"/>
                <w:sz w:val="18"/>
                <w:szCs w:val="18"/>
              </w:rPr>
              <w:t>22 types · Technology 19% · Healthcare 7% · Others 53%</w:t>
            </w:r>
          </w:p>
        </w:tc>
      </w:tr>
      <w:tr w:rsidR="003D70F0" w:rsidRPr="008831EA" w14:paraId="4CCEEF15" w14:textId="77777777" w:rsidTr="008831EA">
        <w:trPr>
          <w:jc w:val="center"/>
        </w:trPr>
        <w:tc>
          <w:tcPr>
            <w:tcW w:w="1232" w:type="pct"/>
            <w:tcBorders>
              <w:top w:val="single" w:sz="4" w:space="0" w:color="E2E8F0"/>
              <w:left w:val="single" w:sz="4" w:space="0" w:color="E2E8F0"/>
              <w:bottom w:val="single" w:sz="4" w:space="0" w:color="E2E8F0"/>
              <w:right w:val="single" w:sz="4" w:space="0" w:color="E2E8F0"/>
            </w:tcBorders>
            <w:tcMar>
              <w:top w:w="80" w:type="dxa"/>
              <w:left w:w="140" w:type="dxa"/>
              <w:bottom w:w="80" w:type="dxa"/>
              <w:right w:w="140" w:type="dxa"/>
            </w:tcMar>
            <w:vAlign w:val="center"/>
          </w:tcPr>
          <w:p w14:paraId="176DAB01" w14:textId="77777777" w:rsidR="003D70F0" w:rsidRPr="008831EA" w:rsidRDefault="00803941" w:rsidP="008831EA">
            <w:pPr>
              <w:spacing w:after="40"/>
              <w:jc w:val="center"/>
              <w:rPr>
                <w:sz w:val="18"/>
                <w:szCs w:val="18"/>
              </w:rPr>
            </w:pPr>
            <w:r w:rsidRPr="008831EA">
              <w:rPr>
                <w:rFonts w:eastAsia="Times New Roman" w:cs="Times New Roman"/>
                <w:b/>
                <w:color w:val="1A1A2E"/>
                <w:sz w:val="18"/>
                <w:szCs w:val="18"/>
              </w:rPr>
              <w:t>Skills</w:t>
            </w:r>
          </w:p>
        </w:tc>
        <w:tc>
          <w:tcPr>
            <w:tcW w:w="3768" w:type="pct"/>
            <w:tcBorders>
              <w:top w:val="single" w:sz="4" w:space="0" w:color="E2E8F0"/>
              <w:left w:val="single" w:sz="4" w:space="0" w:color="E2E8F0"/>
              <w:bottom w:val="single" w:sz="4" w:space="0" w:color="E2E8F0"/>
              <w:right w:val="single" w:sz="4" w:space="0" w:color="E2E8F0"/>
            </w:tcBorders>
            <w:tcMar>
              <w:top w:w="80" w:type="dxa"/>
              <w:left w:w="140" w:type="dxa"/>
              <w:bottom w:w="80" w:type="dxa"/>
              <w:right w:w="140" w:type="dxa"/>
            </w:tcMar>
            <w:vAlign w:val="center"/>
          </w:tcPr>
          <w:p w14:paraId="65461635" w14:textId="77777777" w:rsidR="003D70F0" w:rsidRPr="008831EA" w:rsidRDefault="00803941" w:rsidP="008831EA">
            <w:pPr>
              <w:spacing w:after="40"/>
              <w:jc w:val="both"/>
              <w:rPr>
                <w:sz w:val="18"/>
                <w:szCs w:val="18"/>
              </w:rPr>
            </w:pPr>
            <w:r w:rsidRPr="008831EA">
              <w:rPr>
                <w:rFonts w:eastAsia="Times New Roman" w:cs="Times New Roman"/>
                <w:sz w:val="18"/>
                <w:szCs w:val="18"/>
              </w:rPr>
              <w:t>1,057 unique tags · Excel, Python, SQL, Power BI</w:t>
            </w:r>
          </w:p>
        </w:tc>
      </w:tr>
      <w:tr w:rsidR="003D70F0" w:rsidRPr="008831EA" w14:paraId="4A3CBFDF" w14:textId="77777777" w:rsidTr="008831EA">
        <w:trPr>
          <w:jc w:val="center"/>
        </w:trPr>
        <w:tc>
          <w:tcPr>
            <w:tcW w:w="1232" w:type="pct"/>
            <w:tcBorders>
              <w:top w:val="single" w:sz="4" w:space="0" w:color="E2E8F0"/>
              <w:left w:val="single" w:sz="4" w:space="0" w:color="E2E8F0"/>
              <w:bottom w:val="single" w:sz="4" w:space="0" w:color="E2E8F0"/>
              <w:right w:val="single" w:sz="4" w:space="0" w:color="E2E8F0"/>
            </w:tcBorders>
            <w:tcMar>
              <w:top w:w="80" w:type="dxa"/>
              <w:left w:w="140" w:type="dxa"/>
              <w:bottom w:w="80" w:type="dxa"/>
              <w:right w:w="140" w:type="dxa"/>
            </w:tcMar>
            <w:vAlign w:val="center"/>
          </w:tcPr>
          <w:p w14:paraId="39B6CDD3" w14:textId="77777777" w:rsidR="003D70F0" w:rsidRPr="008831EA" w:rsidRDefault="00803941" w:rsidP="008831EA">
            <w:pPr>
              <w:spacing w:after="40"/>
              <w:jc w:val="center"/>
              <w:rPr>
                <w:sz w:val="18"/>
                <w:szCs w:val="18"/>
              </w:rPr>
            </w:pPr>
            <w:r w:rsidRPr="008831EA">
              <w:rPr>
                <w:rFonts w:eastAsia="Times New Roman" w:cs="Times New Roman"/>
                <w:b/>
                <w:color w:val="1A1A2E"/>
                <w:sz w:val="18"/>
                <w:szCs w:val="18"/>
              </w:rPr>
              <w:t>Salary (Avg)</w:t>
            </w:r>
          </w:p>
        </w:tc>
        <w:tc>
          <w:tcPr>
            <w:tcW w:w="3768" w:type="pct"/>
            <w:tcBorders>
              <w:top w:val="single" w:sz="4" w:space="0" w:color="E2E8F0"/>
              <w:left w:val="single" w:sz="4" w:space="0" w:color="E2E8F0"/>
              <w:bottom w:val="single" w:sz="4" w:space="0" w:color="E2E8F0"/>
              <w:right w:val="single" w:sz="4" w:space="0" w:color="E2E8F0"/>
            </w:tcBorders>
            <w:tcMar>
              <w:top w:w="80" w:type="dxa"/>
              <w:left w:w="140" w:type="dxa"/>
              <w:bottom w:w="80" w:type="dxa"/>
              <w:right w:w="140" w:type="dxa"/>
            </w:tcMar>
            <w:vAlign w:val="center"/>
          </w:tcPr>
          <w:p w14:paraId="3502DF49" w14:textId="77777777" w:rsidR="003D70F0" w:rsidRPr="008831EA" w:rsidRDefault="00803941" w:rsidP="008831EA">
            <w:pPr>
              <w:spacing w:after="40"/>
              <w:jc w:val="both"/>
              <w:rPr>
                <w:sz w:val="18"/>
                <w:szCs w:val="18"/>
              </w:rPr>
            </w:pPr>
            <w:r w:rsidRPr="008831EA">
              <w:rPr>
                <w:rFonts w:eastAsia="Times New Roman" w:cs="Times New Roman"/>
                <w:sz w:val="18"/>
                <w:szCs w:val="18"/>
              </w:rPr>
              <w:t xml:space="preserve">Mean $78,435 · range </w:t>
            </w:r>
            <w:r w:rsidRPr="008831EA">
              <w:rPr>
                <w:rFonts w:eastAsia="Times New Roman" w:cs="Times New Roman"/>
                <w:sz w:val="18"/>
                <w:szCs w:val="18"/>
              </w:rPr>
              <w:t>$43,720–$158,640 · std. dev. $18,027</w:t>
            </w:r>
          </w:p>
        </w:tc>
      </w:tr>
    </w:tbl>
    <w:p w14:paraId="1799AB60" w14:textId="77777777" w:rsidR="003D70F0" w:rsidRDefault="003D70F0">
      <w:pPr>
        <w:spacing w:after="80"/>
      </w:pPr>
    </w:p>
    <w:tbl>
      <w:tblPr>
        <w:tblW w:w="5000" w:type="pct"/>
        <w:tblLook w:val="04A0" w:firstRow="1" w:lastRow="0" w:firstColumn="1" w:lastColumn="0" w:noHBand="0" w:noVBand="1"/>
      </w:tblPr>
      <w:tblGrid>
        <w:gridCol w:w="4880"/>
      </w:tblGrid>
      <w:tr w:rsidR="003D70F0" w14:paraId="0AF8B9E7" w14:textId="77777777" w:rsidTr="008831EA">
        <w:tc>
          <w:tcPr>
            <w:tcW w:w="5000" w:type="pct"/>
            <w:tcBorders>
              <w:top w:val="single" w:sz="4" w:space="0" w:color="B88A00"/>
              <w:left w:val="single" w:sz="4" w:space="0" w:color="B88A00"/>
              <w:bottom w:val="single" w:sz="4" w:space="0" w:color="B88A00"/>
              <w:right w:val="single" w:sz="4" w:space="0" w:color="B88A00"/>
            </w:tcBorders>
            <w:shd w:val="clear" w:color="auto" w:fill="FBF5E2"/>
            <w:tcMar>
              <w:top w:w="180" w:type="dxa"/>
              <w:left w:w="280" w:type="dxa"/>
              <w:bottom w:w="180" w:type="dxa"/>
              <w:right w:w="280" w:type="dxa"/>
            </w:tcMar>
          </w:tcPr>
          <w:p w14:paraId="7D5041C9" w14:textId="1BB559E2" w:rsidR="003D70F0" w:rsidRDefault="00803941" w:rsidP="008831EA">
            <w:pPr>
              <w:spacing w:after="0"/>
              <w:jc w:val="both"/>
            </w:pPr>
            <w:r>
              <w:rPr>
                <w:rFonts w:ascii="Cambria" w:eastAsia="Cambria" w:hAnsi="Cambria" w:cs="Cambria"/>
                <w:b/>
                <w:color w:val="B88A00"/>
                <w:sz w:val="44"/>
              </w:rPr>
              <w:t>“</w:t>
            </w:r>
            <w:r>
              <w:rPr>
                <w:rFonts w:ascii="Cambria" w:eastAsia="Cambria" w:hAnsi="Cambria" w:cs="Cambria"/>
                <w:i/>
                <w:color w:val="1A1A2E"/>
                <w:sz w:val="26"/>
              </w:rPr>
              <w:t>Which combinations of skill, city, seniority, and work mode pay best in Canada right now — and where are the underserved segments of the market?</w:t>
            </w:r>
          </w:p>
        </w:tc>
      </w:tr>
    </w:tbl>
    <w:p w14:paraId="03008C64" w14:textId="77777777" w:rsidR="003D70F0" w:rsidRDefault="003D70F0">
      <w:pPr>
        <w:spacing w:after="120"/>
      </w:pPr>
    </w:p>
    <w:p w14:paraId="47169804" w14:textId="767C9A9D" w:rsidR="003D70F0" w:rsidRDefault="00803941" w:rsidP="008831EA">
      <w:pPr>
        <w:spacing w:before="280" w:after="80"/>
        <w:jc w:val="both"/>
      </w:pPr>
      <w:r w:rsidRPr="00C104F0">
        <w:rPr>
          <w:rFonts w:ascii="Consolas" w:eastAsia="Consolas" w:hAnsi="Consolas" w:cs="Consolas"/>
          <w:b/>
          <w:color w:val="005485"/>
          <w:sz w:val="22"/>
        </w:rPr>
        <w:t>04</w:t>
      </w:r>
      <w:r w:rsidR="008831EA">
        <w:rPr>
          <w:rFonts w:ascii="Consolas" w:eastAsia="Consolas" w:hAnsi="Consolas" w:cs="Consolas"/>
          <w:b/>
          <w:color w:val="B88A00"/>
          <w:sz w:val="22"/>
        </w:rPr>
        <w:t xml:space="preserve"> </w:t>
      </w:r>
      <w:r>
        <w:rPr>
          <w:rFonts w:ascii="Calibri" w:eastAsia="Calibri" w:hAnsi="Calibri" w:cs="Calibri"/>
          <w:b/>
          <w:color w:val="1A1A2E"/>
          <w:sz w:val="28"/>
        </w:rPr>
        <w:t>Dashboard Layout &amp; Visualizations</w:t>
      </w:r>
    </w:p>
    <w:p w14:paraId="48D2BA6E" w14:textId="77777777" w:rsidR="003D70F0" w:rsidRDefault="003D70F0" w:rsidP="00460275">
      <w:pPr>
        <w:pBdr>
          <w:bottom w:val="single" w:sz="12" w:space="1" w:color="1A1A2E"/>
        </w:pBdr>
        <w:spacing w:after="160"/>
        <w:jc w:val="center"/>
      </w:pPr>
    </w:p>
    <w:p w14:paraId="5746EACC" w14:textId="77777777" w:rsidR="003D70F0" w:rsidRDefault="00803941" w:rsidP="008831EA">
      <w:pPr>
        <w:spacing w:after="120"/>
        <w:jc w:val="both"/>
      </w:pPr>
      <w:r>
        <w:rPr>
          <w:rFonts w:eastAsia="Times New Roman" w:cs="Times New Roman"/>
        </w:rPr>
        <w:t xml:space="preserve">The dashboard follows an </w:t>
      </w:r>
      <w:r>
        <w:rPr>
          <w:rFonts w:eastAsia="Times New Roman" w:cs="Times New Roman"/>
        </w:rPr>
        <w:t>F-pattern layout: KPI tiles top-left where attention concentrates, comparative charts in the middle, the detail table at the bottom. Each chart is justified through the 3-Lens Framework (Purpose, Data, Audience).</w:t>
      </w:r>
    </w:p>
    <w:p w14:paraId="56AA6FF8" w14:textId="77777777" w:rsidR="003D70F0" w:rsidRDefault="00803941" w:rsidP="008831EA">
      <w:pPr>
        <w:spacing w:before="120" w:after="60"/>
        <w:jc w:val="both"/>
      </w:pPr>
      <w:r>
        <w:rPr>
          <w:rFonts w:ascii="Calibri" w:eastAsia="Calibri" w:hAnsi="Calibri" w:cs="Calibri"/>
          <w:b/>
          <w:color w:val="0F766E"/>
        </w:rPr>
        <w:t>4.1  Market Overview</w:t>
      </w:r>
    </w:p>
    <w:p w14:paraId="63967175" w14:textId="073075F2" w:rsidR="003D70F0" w:rsidRDefault="00803941" w:rsidP="008831EA">
      <w:pPr>
        <w:pStyle w:val="ListBullet"/>
        <w:spacing w:after="20"/>
        <w:jc w:val="both"/>
      </w:pPr>
      <w:r>
        <w:rPr>
          <w:rFonts w:eastAsia="Times New Roman" w:cs="Times New Roman"/>
          <w:b/>
          <w:sz w:val="22"/>
        </w:rPr>
        <w:t>KPI / BAN tiles</w:t>
      </w:r>
      <w:r w:rsidR="00311AE2">
        <w:rPr>
          <w:rFonts w:eastAsia="Times New Roman" w:cs="Times New Roman"/>
          <w:color w:val="475569"/>
          <w:sz w:val="22"/>
        </w:rPr>
        <w:t>:</w:t>
      </w:r>
      <w:r>
        <w:rPr>
          <w:rFonts w:eastAsia="Times New Roman" w:cs="Times New Roman"/>
          <w:color w:val="475569"/>
          <w:sz w:val="22"/>
        </w:rPr>
        <w:t xml:space="preserve"> Medi</w:t>
      </w:r>
      <w:r>
        <w:rPr>
          <w:rFonts w:eastAsia="Times New Roman" w:cs="Times New Roman"/>
          <w:color w:val="475569"/>
          <w:sz w:val="22"/>
        </w:rPr>
        <w:t>an salary, total postings, top province — pre-attentive numerals, fastest scan.</w:t>
      </w:r>
    </w:p>
    <w:p w14:paraId="1D8B72B8" w14:textId="15B21A34" w:rsidR="003D70F0" w:rsidRDefault="00803941" w:rsidP="008831EA">
      <w:pPr>
        <w:pStyle w:val="ListBullet"/>
        <w:spacing w:after="20"/>
        <w:jc w:val="both"/>
      </w:pPr>
      <w:r>
        <w:rPr>
          <w:rFonts w:eastAsia="Times New Roman" w:cs="Times New Roman"/>
          <w:b/>
          <w:sz w:val="22"/>
        </w:rPr>
        <w:t>Choropleth map by province</w:t>
      </w:r>
      <w:r w:rsidR="00311AE2">
        <w:rPr>
          <w:rFonts w:eastAsia="Times New Roman" w:cs="Times New Roman"/>
          <w:color w:val="475569"/>
          <w:sz w:val="22"/>
        </w:rPr>
        <w:t>:</w:t>
      </w:r>
      <w:r>
        <w:rPr>
          <w:rFonts w:eastAsia="Times New Roman" w:cs="Times New Roman"/>
          <w:color w:val="475569"/>
          <w:sz w:val="22"/>
        </w:rPr>
        <w:t xml:space="preserve"> Geography is native to the data; color shading exposes regional clusters.</w:t>
      </w:r>
    </w:p>
    <w:p w14:paraId="09BCAED3" w14:textId="088B1CDF" w:rsidR="003D70F0" w:rsidRDefault="00803941" w:rsidP="008831EA">
      <w:pPr>
        <w:pStyle w:val="ListBullet"/>
        <w:spacing w:after="20"/>
        <w:jc w:val="both"/>
      </w:pPr>
      <w:r>
        <w:rPr>
          <w:rFonts w:eastAsia="Times New Roman" w:cs="Times New Roman"/>
          <w:b/>
          <w:sz w:val="22"/>
        </w:rPr>
        <w:t>Horizontal bar · job title × seniority</w:t>
      </w:r>
      <w:r w:rsidR="00311AE2">
        <w:rPr>
          <w:rFonts w:eastAsia="Times New Roman" w:cs="Times New Roman"/>
          <w:color w:val="475569"/>
          <w:sz w:val="22"/>
        </w:rPr>
        <w:t>:</w:t>
      </w:r>
      <w:r>
        <w:rPr>
          <w:rFonts w:eastAsia="Times New Roman" w:cs="Times New Roman"/>
          <w:color w:val="475569"/>
          <w:sz w:val="22"/>
        </w:rPr>
        <w:t xml:space="preserve"> Length is the most accurate pre-</w:t>
      </w:r>
      <w:r>
        <w:rPr>
          <w:rFonts w:eastAsia="Times New Roman" w:cs="Times New Roman"/>
          <w:color w:val="475569"/>
          <w:sz w:val="22"/>
        </w:rPr>
        <w:t>attentive attribute for comparison.</w:t>
      </w:r>
    </w:p>
    <w:p w14:paraId="268B8E0D" w14:textId="77777777" w:rsidR="003D70F0" w:rsidRDefault="00803941" w:rsidP="008831EA">
      <w:pPr>
        <w:spacing w:before="120" w:after="60"/>
        <w:jc w:val="both"/>
      </w:pPr>
      <w:r>
        <w:rPr>
          <w:rFonts w:ascii="Calibri" w:eastAsia="Calibri" w:hAnsi="Calibri" w:cs="Calibri"/>
          <w:b/>
          <w:color w:val="0F766E"/>
        </w:rPr>
        <w:t>4.2  Salary Analysis</w:t>
      </w:r>
    </w:p>
    <w:p w14:paraId="52D54171" w14:textId="77777777" w:rsidR="003D70F0" w:rsidRDefault="00803941" w:rsidP="008831EA">
      <w:pPr>
        <w:pStyle w:val="ListBullet"/>
        <w:spacing w:after="20"/>
        <w:jc w:val="both"/>
      </w:pPr>
      <w:r>
        <w:rPr>
          <w:rFonts w:eastAsia="Times New Roman" w:cs="Times New Roman"/>
          <w:b/>
          <w:sz w:val="22"/>
        </w:rPr>
        <w:t>Box plots · salary by job title</w:t>
      </w:r>
      <w:r>
        <w:rPr>
          <w:rFonts w:eastAsia="Times New Roman" w:cs="Times New Roman"/>
          <w:color w:val="475569"/>
          <w:sz w:val="22"/>
        </w:rPr>
        <w:t xml:space="preserve"> — Show distribution and spread — protects against misleading means.</w:t>
      </w:r>
    </w:p>
    <w:p w14:paraId="5A3C7925" w14:textId="77777777" w:rsidR="003D70F0" w:rsidRDefault="00803941" w:rsidP="008831EA">
      <w:pPr>
        <w:pStyle w:val="ListBullet"/>
        <w:spacing w:after="20"/>
        <w:jc w:val="both"/>
      </w:pPr>
      <w:r>
        <w:rPr>
          <w:rFonts w:eastAsia="Times New Roman" w:cs="Times New Roman"/>
          <w:b/>
          <w:sz w:val="22"/>
        </w:rPr>
        <w:t>Grouped bar · work type × province</w:t>
      </w:r>
      <w:r>
        <w:rPr>
          <w:rFonts w:eastAsia="Times New Roman" w:cs="Times New Roman"/>
          <w:color w:val="475569"/>
          <w:sz w:val="22"/>
        </w:rPr>
        <w:t xml:space="preserve"> — Zero-baseline anchored; one accent color highlights the top combination.</w:t>
      </w:r>
    </w:p>
    <w:p w14:paraId="5D006C43" w14:textId="77777777" w:rsidR="003D70F0" w:rsidRDefault="00803941" w:rsidP="008831EA">
      <w:pPr>
        <w:pStyle w:val="ListBullet"/>
        <w:spacing w:after="20"/>
        <w:jc w:val="both"/>
      </w:pPr>
      <w:r>
        <w:rPr>
          <w:rFonts w:eastAsia="Times New Roman" w:cs="Times New Roman"/>
          <w:b/>
          <w:sz w:val="22"/>
        </w:rPr>
        <w:t>Scatter · min vs. max salary by industry</w:t>
      </w:r>
      <w:r>
        <w:rPr>
          <w:rFonts w:eastAsia="Times New Roman" w:cs="Times New Roman"/>
          <w:color w:val="475569"/>
          <w:sz w:val="22"/>
        </w:rPr>
        <w:t xml:space="preserve"> — Reveals salary-band spread; caveat: correlation ≠ causation.</w:t>
      </w:r>
    </w:p>
    <w:p w14:paraId="74462EC9" w14:textId="77777777" w:rsidR="003D70F0" w:rsidRDefault="00803941" w:rsidP="008831EA">
      <w:pPr>
        <w:spacing w:before="120" w:after="60"/>
        <w:jc w:val="both"/>
      </w:pPr>
      <w:r>
        <w:rPr>
          <w:rFonts w:ascii="Calibri" w:eastAsia="Calibri" w:hAnsi="Calibri" w:cs="Calibri"/>
          <w:b/>
          <w:color w:val="0F766E"/>
        </w:rPr>
        <w:t>4.3  Skills &amp; Interactivity</w:t>
      </w:r>
    </w:p>
    <w:p w14:paraId="437DDD2A" w14:textId="1D574DAE" w:rsidR="003D70F0" w:rsidRDefault="00803941" w:rsidP="008831EA">
      <w:pPr>
        <w:pStyle w:val="ListBullet"/>
        <w:spacing w:after="20"/>
        <w:jc w:val="both"/>
      </w:pPr>
      <w:r>
        <w:rPr>
          <w:rFonts w:eastAsia="Times New Roman" w:cs="Times New Roman"/>
          <w:b/>
          <w:sz w:val="22"/>
        </w:rPr>
        <w:t>Treemap · top skills (size = frequency)</w:t>
      </w:r>
      <w:r w:rsidR="00311AE2">
        <w:rPr>
          <w:rFonts w:eastAsia="Times New Roman" w:cs="Times New Roman"/>
          <w:color w:val="475569"/>
          <w:sz w:val="22"/>
        </w:rPr>
        <w:t>:</w:t>
      </w:r>
      <w:r>
        <w:rPr>
          <w:rFonts w:eastAsia="Times New Roman" w:cs="Times New Roman"/>
          <w:color w:val="475569"/>
          <w:sz w:val="22"/>
        </w:rPr>
        <w:t xml:space="preserve"> Area r</w:t>
      </w:r>
      <w:r>
        <w:rPr>
          <w:rFonts w:eastAsia="Times New Roman" w:cs="Times New Roman"/>
          <w:color w:val="475569"/>
          <w:sz w:val="22"/>
        </w:rPr>
        <w:t>eads more reliably than typographic size in a word cloud.</w:t>
      </w:r>
    </w:p>
    <w:p w14:paraId="4E9A6FBF" w14:textId="79ABFF2D" w:rsidR="003D70F0" w:rsidRDefault="00803941" w:rsidP="008831EA">
      <w:pPr>
        <w:pStyle w:val="ListBullet"/>
        <w:spacing w:after="20"/>
        <w:jc w:val="both"/>
      </w:pPr>
      <w:r>
        <w:rPr>
          <w:rFonts w:eastAsia="Times New Roman" w:cs="Times New Roman"/>
          <w:b/>
          <w:sz w:val="22"/>
        </w:rPr>
        <w:t>Global filter panel</w:t>
      </w:r>
      <w:r w:rsidR="00311AE2">
        <w:rPr>
          <w:rFonts w:eastAsia="Times New Roman" w:cs="Times New Roman"/>
          <w:color w:val="475569"/>
          <w:sz w:val="22"/>
        </w:rPr>
        <w:t>:</w:t>
      </w:r>
      <w:r>
        <w:rPr>
          <w:rFonts w:eastAsia="Times New Roman" w:cs="Times New Roman"/>
          <w:color w:val="475569"/>
          <w:sz w:val="22"/>
        </w:rPr>
        <w:t xml:space="preserve"> Province, seniority, work type, industry, salary — grouped by proximity (Gestalt).</w:t>
      </w:r>
    </w:p>
    <w:p w14:paraId="15BDC3E9" w14:textId="77777777" w:rsidR="003D70F0" w:rsidRDefault="00803941" w:rsidP="008831EA">
      <w:pPr>
        <w:spacing w:before="280" w:after="80"/>
        <w:jc w:val="both"/>
      </w:pPr>
      <w:r w:rsidRPr="00C104F0">
        <w:rPr>
          <w:rFonts w:ascii="Consolas" w:eastAsia="Consolas" w:hAnsi="Consolas" w:cs="Consolas"/>
          <w:b/>
          <w:color w:val="005485"/>
          <w:sz w:val="22"/>
        </w:rPr>
        <w:t>05</w:t>
      </w:r>
      <w:r>
        <w:rPr>
          <w:rFonts w:ascii="Consolas" w:eastAsia="Consolas" w:hAnsi="Consolas" w:cs="Consolas"/>
          <w:b/>
          <w:color w:val="B88A00"/>
          <w:sz w:val="22"/>
        </w:rPr>
        <w:t xml:space="preserve">  </w:t>
      </w:r>
      <w:r>
        <w:rPr>
          <w:rFonts w:ascii="Calibri" w:eastAsia="Calibri" w:hAnsi="Calibri" w:cs="Calibri"/>
          <w:b/>
          <w:color w:val="1A1A2E"/>
          <w:sz w:val="28"/>
        </w:rPr>
        <w:t>Design Principles Applied</w:t>
      </w:r>
    </w:p>
    <w:p w14:paraId="2C118D19" w14:textId="77777777" w:rsidR="003D70F0" w:rsidRDefault="003D70F0" w:rsidP="00460275">
      <w:pPr>
        <w:pBdr>
          <w:bottom w:val="single" w:sz="12" w:space="1" w:color="1A1A2E"/>
        </w:pBdr>
        <w:spacing w:after="160"/>
        <w:jc w:val="center"/>
      </w:pPr>
    </w:p>
    <w:p w14:paraId="427C4A1B" w14:textId="7F87C169" w:rsidR="008831EA" w:rsidRDefault="00803941" w:rsidP="008831EA">
      <w:pPr>
        <w:spacing w:after="120"/>
        <w:jc w:val="both"/>
        <w:rPr>
          <w:rFonts w:eastAsia="Times New Roman" w:cs="Times New Roman"/>
        </w:rPr>
      </w:pPr>
      <w:r>
        <w:rPr>
          <w:rFonts w:eastAsia="Times New Roman" w:cs="Times New Roman"/>
        </w:rPr>
        <w:t xml:space="preserve">Because this course weighs design as heavily as analysis, the </w:t>
      </w:r>
      <w:r>
        <w:rPr>
          <w:rFonts w:eastAsia="Times New Roman" w:cs="Times New Roman"/>
        </w:rPr>
        <w:t>dashboard commits to a restrained visual language. A single accent color marks the metric we want the audience to notice first; everything else stays neutral so data — not decoration — carries the message (high data-ink ratio, per Tufte). Gridlines and sha</w:t>
      </w:r>
      <w:r>
        <w:rPr>
          <w:rFonts w:eastAsia="Times New Roman" w:cs="Times New Roman"/>
        </w:rPr>
        <w:t>dows are removed unless they aid reading, and color is never the sole encoding: every categorical comparison also varies position or label, keeping the dashboard accessible to colorblind users. Interactivity is limited to five filters (Hick's Law: fewer co</w:t>
      </w:r>
      <w:r>
        <w:rPr>
          <w:rFonts w:eastAsia="Times New Roman" w:cs="Times New Roman"/>
        </w:rPr>
        <w:t>ntrols, better decisions).</w:t>
      </w:r>
      <w:r w:rsidR="008831EA">
        <w:rPr>
          <w:rFonts w:eastAsia="Times New Roman" w:cs="Times New Roman"/>
        </w:rPr>
        <w:br w:type="page"/>
      </w:r>
    </w:p>
    <w:p w14:paraId="2826C23A" w14:textId="77777777" w:rsidR="003D70F0" w:rsidRDefault="00803941" w:rsidP="007D6009">
      <w:pPr>
        <w:spacing w:before="280" w:after="80"/>
        <w:jc w:val="both"/>
      </w:pPr>
      <w:r w:rsidRPr="00C104F0">
        <w:rPr>
          <w:rFonts w:ascii="Consolas" w:eastAsia="Consolas" w:hAnsi="Consolas" w:cs="Consolas"/>
          <w:b/>
          <w:color w:val="005485"/>
          <w:sz w:val="22"/>
        </w:rPr>
        <w:lastRenderedPageBreak/>
        <w:t>06</w:t>
      </w:r>
      <w:r>
        <w:rPr>
          <w:rFonts w:ascii="Consolas" w:eastAsia="Consolas" w:hAnsi="Consolas" w:cs="Consolas"/>
          <w:b/>
          <w:color w:val="B88A00"/>
          <w:sz w:val="22"/>
        </w:rPr>
        <w:t xml:space="preserve"> </w:t>
      </w:r>
      <w:r>
        <w:rPr>
          <w:rFonts w:ascii="Consolas" w:eastAsia="Consolas" w:hAnsi="Consolas" w:cs="Consolas"/>
          <w:b/>
          <w:color w:val="B88A00"/>
          <w:sz w:val="22"/>
        </w:rPr>
        <w:t xml:space="preserve"> </w:t>
      </w:r>
      <w:r>
        <w:rPr>
          <w:rFonts w:ascii="Calibri" w:eastAsia="Calibri" w:hAnsi="Calibri" w:cs="Calibri"/>
          <w:b/>
          <w:color w:val="1A1A2E"/>
          <w:sz w:val="28"/>
        </w:rPr>
        <w:t>S</w:t>
      </w:r>
      <w:r>
        <w:rPr>
          <w:rFonts w:ascii="Calibri" w:eastAsia="Calibri" w:hAnsi="Calibri" w:cs="Calibri"/>
          <w:b/>
          <w:color w:val="1A1A2E"/>
          <w:sz w:val="28"/>
        </w:rPr>
        <w:t>cope</w:t>
      </w:r>
      <w:r>
        <w:rPr>
          <w:rFonts w:ascii="Calibri" w:eastAsia="Calibri" w:hAnsi="Calibri" w:cs="Calibri"/>
          <w:b/>
          <w:color w:val="1A1A2E"/>
          <w:sz w:val="28"/>
        </w:rPr>
        <w:t xml:space="preserve"> &amp; Constraints</w:t>
      </w:r>
    </w:p>
    <w:p w14:paraId="71F5FE17" w14:textId="77777777" w:rsidR="003D70F0" w:rsidRDefault="003D70F0" w:rsidP="00460275">
      <w:pPr>
        <w:pBdr>
          <w:bottom w:val="single" w:sz="12" w:space="1" w:color="1A1A2E"/>
        </w:pBdr>
        <w:spacing w:after="160"/>
        <w:jc w:val="center"/>
      </w:pPr>
    </w:p>
    <w:tbl>
      <w:tblPr>
        <w:tblW w:w="5000" w:type="pct"/>
        <w:tblLook w:val="04A0" w:firstRow="1" w:lastRow="0" w:firstColumn="1" w:lastColumn="0" w:noHBand="0" w:noVBand="1"/>
      </w:tblPr>
      <w:tblGrid>
        <w:gridCol w:w="4720"/>
      </w:tblGrid>
      <w:tr w:rsidR="003D70F0" w14:paraId="0CB13019" w14:textId="77777777" w:rsidTr="008831EA">
        <w:tc>
          <w:tcPr>
            <w:tcW w:w="5000" w:type="pct"/>
            <w:tcBorders>
              <w:top w:val="single" w:sz="4" w:space="0" w:color="E2E8F0"/>
              <w:left w:val="single" w:sz="4" w:space="0" w:color="E2E8F0"/>
              <w:bottom w:val="single" w:sz="4" w:space="0" w:color="E2E8F0"/>
              <w:right w:val="single" w:sz="4" w:space="0" w:color="E2E8F0"/>
            </w:tcBorders>
            <w:tcMar>
              <w:top w:w="140" w:type="dxa"/>
              <w:left w:w="200" w:type="dxa"/>
              <w:bottom w:w="140" w:type="dxa"/>
              <w:right w:w="200" w:type="dxa"/>
            </w:tcMar>
          </w:tcPr>
          <w:p w14:paraId="05219C17" w14:textId="77777777" w:rsidR="003D70F0" w:rsidRDefault="00803941" w:rsidP="007D6009">
            <w:pPr>
              <w:spacing w:after="80"/>
              <w:jc w:val="both"/>
            </w:pPr>
            <w:r>
              <w:rPr>
                <w:rFonts w:ascii="Calibri" w:hAnsi="Calibri"/>
                <w:b/>
                <w:color w:val="0F766E"/>
                <w:sz w:val="18"/>
                <w:shd w:val="clear" w:color="auto" w:fill="E6F4F1"/>
              </w:rPr>
              <w:t xml:space="preserve">  IN SCOPE  </w:t>
            </w:r>
          </w:p>
          <w:p w14:paraId="756DC8D6" w14:textId="77777777" w:rsidR="003D70F0" w:rsidRDefault="00803941" w:rsidP="007D6009">
            <w:pPr>
              <w:spacing w:after="20"/>
              <w:ind w:left="216"/>
              <w:jc w:val="both"/>
            </w:pPr>
            <w:r>
              <w:rPr>
                <w:rFonts w:ascii="Cambria" w:eastAsia="Cambria" w:hAnsi="Cambria" w:cs="Cambria"/>
                <w:b/>
                <w:color w:val="94A3B8"/>
                <w:sz w:val="22"/>
              </w:rPr>
              <w:t xml:space="preserve">› </w:t>
            </w:r>
            <w:r>
              <w:rPr>
                <w:rFonts w:eastAsia="Times New Roman" w:cs="Times New Roman"/>
                <w:sz w:val="22"/>
              </w:rPr>
              <w:t>Interactive Power BI dashboard built on the cleaned dataset (no live collection).</w:t>
            </w:r>
          </w:p>
          <w:p w14:paraId="0FBEB993" w14:textId="77777777" w:rsidR="003D70F0" w:rsidRDefault="00803941" w:rsidP="007D6009">
            <w:pPr>
              <w:spacing w:after="20"/>
              <w:ind w:left="216"/>
              <w:jc w:val="both"/>
            </w:pPr>
            <w:r>
              <w:rPr>
                <w:rFonts w:ascii="Cambria" w:eastAsia="Cambria" w:hAnsi="Cambria" w:cs="Cambria"/>
                <w:b/>
                <w:color w:val="94A3B8"/>
                <w:sz w:val="22"/>
              </w:rPr>
              <w:t xml:space="preserve">› </w:t>
            </w:r>
            <w:r>
              <w:rPr>
                <w:rFonts w:eastAsia="Times New Roman" w:cs="Times New Roman"/>
                <w:sz w:val="22"/>
              </w:rPr>
              <w:t>Five to seven visualizations across geography, salary, and skill frequency.</w:t>
            </w:r>
          </w:p>
          <w:p w14:paraId="22E1EB62" w14:textId="77777777" w:rsidR="003D70F0" w:rsidRDefault="00803941" w:rsidP="007D6009">
            <w:pPr>
              <w:spacing w:after="20"/>
              <w:ind w:left="216"/>
              <w:jc w:val="both"/>
            </w:pPr>
            <w:r>
              <w:rPr>
                <w:rFonts w:ascii="Cambria" w:eastAsia="Cambria" w:hAnsi="Cambria" w:cs="Cambria"/>
                <w:b/>
                <w:color w:val="94A3B8"/>
                <w:sz w:val="22"/>
              </w:rPr>
              <w:t xml:space="preserve">› </w:t>
            </w:r>
            <w:r>
              <w:rPr>
                <w:rFonts w:eastAsia="Times New Roman" w:cs="Times New Roman"/>
                <w:sz w:val="22"/>
              </w:rPr>
              <w:t xml:space="preserve">Additional cleaning </w:t>
            </w:r>
            <w:r>
              <w:rPr>
                <w:rFonts w:eastAsia="Times New Roman" w:cs="Times New Roman"/>
                <w:sz w:val="22"/>
              </w:rPr>
              <w:t>(skill-tag normalization, salary parsing, province inference from city).</w:t>
            </w:r>
          </w:p>
          <w:p w14:paraId="500FE42B" w14:textId="77777777" w:rsidR="003D70F0" w:rsidRDefault="00803941" w:rsidP="007D6009">
            <w:pPr>
              <w:spacing w:after="20"/>
              <w:ind w:left="216"/>
              <w:jc w:val="both"/>
            </w:pPr>
            <w:r>
              <w:rPr>
                <w:rFonts w:ascii="Cambria" w:eastAsia="Cambria" w:hAnsi="Cambria" w:cs="Cambria"/>
                <w:b/>
                <w:color w:val="94A3B8"/>
                <w:sz w:val="22"/>
              </w:rPr>
              <w:t xml:space="preserve">› </w:t>
            </w:r>
            <w:r>
              <w:rPr>
                <w:rFonts w:eastAsia="Times New Roman" w:cs="Times New Roman"/>
                <w:sz w:val="22"/>
              </w:rPr>
              <w:t>Short narrative interpretations under each chart for the target audience.</w:t>
            </w:r>
          </w:p>
        </w:tc>
      </w:tr>
    </w:tbl>
    <w:p w14:paraId="048EE6D5" w14:textId="77777777" w:rsidR="003D70F0" w:rsidRDefault="003D70F0" w:rsidP="007D6009">
      <w:pPr>
        <w:spacing w:after="80"/>
        <w:jc w:val="both"/>
      </w:pPr>
    </w:p>
    <w:tbl>
      <w:tblPr>
        <w:tblW w:w="5000" w:type="pct"/>
        <w:tblLook w:val="04A0" w:firstRow="1" w:lastRow="0" w:firstColumn="1" w:lastColumn="0" w:noHBand="0" w:noVBand="1"/>
      </w:tblPr>
      <w:tblGrid>
        <w:gridCol w:w="4720"/>
      </w:tblGrid>
      <w:tr w:rsidR="003D70F0" w14:paraId="51588238" w14:textId="77777777" w:rsidTr="008831EA">
        <w:tc>
          <w:tcPr>
            <w:tcW w:w="5000" w:type="pct"/>
            <w:tcBorders>
              <w:top w:val="single" w:sz="4" w:space="0" w:color="E2E8F0"/>
              <w:left w:val="single" w:sz="4" w:space="0" w:color="E2E8F0"/>
              <w:bottom w:val="single" w:sz="4" w:space="0" w:color="E2E8F0"/>
              <w:right w:val="single" w:sz="4" w:space="0" w:color="E2E8F0"/>
            </w:tcBorders>
            <w:tcMar>
              <w:top w:w="140" w:type="dxa"/>
              <w:left w:w="200" w:type="dxa"/>
              <w:bottom w:w="140" w:type="dxa"/>
              <w:right w:w="200" w:type="dxa"/>
            </w:tcMar>
          </w:tcPr>
          <w:p w14:paraId="793A323F" w14:textId="77777777" w:rsidR="003D70F0" w:rsidRDefault="00803941" w:rsidP="007D6009">
            <w:pPr>
              <w:spacing w:after="80"/>
              <w:jc w:val="both"/>
            </w:pPr>
            <w:r>
              <w:rPr>
                <w:rFonts w:ascii="Calibri" w:hAnsi="Calibri"/>
                <w:b/>
                <w:color w:val="64748B"/>
                <w:sz w:val="18"/>
                <w:shd w:val="clear" w:color="auto" w:fill="F1F5F9"/>
              </w:rPr>
              <w:t xml:space="preserve">  OUT OF SCOPE  </w:t>
            </w:r>
          </w:p>
          <w:p w14:paraId="48A695EB" w14:textId="77777777" w:rsidR="003D70F0" w:rsidRDefault="00803941" w:rsidP="007D6009">
            <w:pPr>
              <w:spacing w:after="20"/>
              <w:ind w:left="216"/>
              <w:jc w:val="both"/>
            </w:pPr>
            <w:r>
              <w:rPr>
                <w:rFonts w:ascii="Cambria" w:eastAsia="Cambria" w:hAnsi="Cambria" w:cs="Cambria"/>
                <w:b/>
                <w:color w:val="94A3B8"/>
                <w:sz w:val="22"/>
              </w:rPr>
              <w:t xml:space="preserve">› </w:t>
            </w:r>
            <w:r>
              <w:rPr>
                <w:rFonts w:eastAsia="Times New Roman" w:cs="Times New Roman"/>
                <w:sz w:val="22"/>
              </w:rPr>
              <w:t xml:space="preserve">Real-time data collection, predictive modeling, and external API </w:t>
            </w:r>
            <w:r>
              <w:rPr>
                <w:rFonts w:eastAsia="Times New Roman" w:cs="Times New Roman"/>
                <w:sz w:val="22"/>
              </w:rPr>
              <w:t>integration.</w:t>
            </w:r>
          </w:p>
          <w:p w14:paraId="39D23C1A" w14:textId="77777777" w:rsidR="003D70F0" w:rsidRDefault="00803941" w:rsidP="007D6009">
            <w:pPr>
              <w:spacing w:after="20"/>
              <w:ind w:left="216"/>
              <w:jc w:val="both"/>
            </w:pPr>
            <w:r>
              <w:rPr>
                <w:rFonts w:ascii="Cambria" w:eastAsia="Cambria" w:hAnsi="Cambria" w:cs="Cambria"/>
                <w:b/>
                <w:color w:val="94A3B8"/>
                <w:sz w:val="22"/>
              </w:rPr>
              <w:t xml:space="preserve">› </w:t>
            </w:r>
            <w:r>
              <w:rPr>
                <w:rFonts w:eastAsia="Times New Roman" w:cs="Times New Roman"/>
                <w:sz w:val="22"/>
              </w:rPr>
              <w:t>Topic overlap with the BAM-2024 BI Tools project.</w:t>
            </w:r>
          </w:p>
        </w:tc>
      </w:tr>
    </w:tbl>
    <w:p w14:paraId="4B8870D7" w14:textId="77777777" w:rsidR="003D70F0" w:rsidRDefault="003D70F0" w:rsidP="007D6009">
      <w:pPr>
        <w:spacing w:after="80"/>
        <w:jc w:val="both"/>
      </w:pPr>
    </w:p>
    <w:tbl>
      <w:tblPr>
        <w:tblW w:w="5000" w:type="pct"/>
        <w:tblLook w:val="04A0" w:firstRow="1" w:lastRow="0" w:firstColumn="1" w:lastColumn="0" w:noHBand="0" w:noVBand="1"/>
      </w:tblPr>
      <w:tblGrid>
        <w:gridCol w:w="4720"/>
      </w:tblGrid>
      <w:tr w:rsidR="003D70F0" w14:paraId="6AC21FC2" w14:textId="77777777" w:rsidTr="008831EA">
        <w:tc>
          <w:tcPr>
            <w:tcW w:w="5000" w:type="pct"/>
            <w:tcBorders>
              <w:top w:val="single" w:sz="4" w:space="0" w:color="E2E8F0"/>
              <w:left w:val="single" w:sz="4" w:space="0" w:color="E2E8F0"/>
              <w:bottom w:val="single" w:sz="4" w:space="0" w:color="E2E8F0"/>
              <w:right w:val="single" w:sz="4" w:space="0" w:color="E2E8F0"/>
            </w:tcBorders>
            <w:tcMar>
              <w:top w:w="140" w:type="dxa"/>
              <w:left w:w="200" w:type="dxa"/>
              <w:bottom w:w="140" w:type="dxa"/>
              <w:right w:w="200" w:type="dxa"/>
            </w:tcMar>
          </w:tcPr>
          <w:p w14:paraId="4C5DC16B" w14:textId="77777777" w:rsidR="003D70F0" w:rsidRDefault="00803941" w:rsidP="007D6009">
            <w:pPr>
              <w:spacing w:after="80"/>
              <w:jc w:val="both"/>
            </w:pPr>
            <w:r>
              <w:rPr>
                <w:rFonts w:ascii="Calibri" w:hAnsi="Calibri"/>
                <w:b/>
                <w:color w:val="B88A00"/>
                <w:sz w:val="18"/>
                <w:shd w:val="clear" w:color="auto" w:fill="FBF5E2"/>
              </w:rPr>
              <w:t xml:space="preserve">  CONSTRAINTS  </w:t>
            </w:r>
          </w:p>
          <w:p w14:paraId="43D2137E" w14:textId="77777777" w:rsidR="003D70F0" w:rsidRDefault="00803941" w:rsidP="007D6009">
            <w:pPr>
              <w:spacing w:after="20"/>
              <w:ind w:left="216"/>
              <w:jc w:val="both"/>
            </w:pPr>
            <w:r>
              <w:rPr>
                <w:rFonts w:ascii="Cambria" w:eastAsia="Cambria" w:hAnsi="Cambria" w:cs="Cambria"/>
                <w:b/>
                <w:color w:val="94A3B8"/>
                <w:sz w:val="22"/>
              </w:rPr>
              <w:t xml:space="preserve">› </w:t>
            </w:r>
            <w:r>
              <w:rPr>
                <w:rFonts w:eastAsia="Times New Roman" w:cs="Times New Roman"/>
                <w:sz w:val="22"/>
              </w:rPr>
              <w:t>The dataset is a historical snapshot and may not reflect the current market exactly.</w:t>
            </w:r>
          </w:p>
          <w:p w14:paraId="6D4298A5" w14:textId="77777777" w:rsidR="003D70F0" w:rsidRDefault="00803941" w:rsidP="007D6009">
            <w:pPr>
              <w:spacing w:after="20"/>
              <w:ind w:left="216"/>
              <w:jc w:val="both"/>
            </w:pPr>
            <w:r>
              <w:rPr>
                <w:rFonts w:ascii="Cambria" w:eastAsia="Cambria" w:hAnsi="Cambria" w:cs="Cambria"/>
                <w:b/>
                <w:color w:val="94A3B8"/>
                <w:sz w:val="22"/>
              </w:rPr>
              <w:t xml:space="preserve">› </w:t>
            </w:r>
            <w:r>
              <w:rPr>
                <w:rFonts w:eastAsia="Times New Roman" w:cs="Times New Roman"/>
                <w:sz w:val="22"/>
              </w:rPr>
              <w:t>The "Others" industry category covers 53% of postings, limiting industry-level depth</w:t>
            </w:r>
            <w:r>
              <w:rPr>
                <w:rFonts w:eastAsia="Times New Roman" w:cs="Times New Roman"/>
                <w:sz w:val="22"/>
              </w:rPr>
              <w:t>.</w:t>
            </w:r>
          </w:p>
          <w:p w14:paraId="2EE6E3E9" w14:textId="77777777" w:rsidR="003D70F0" w:rsidRDefault="00803941" w:rsidP="007D6009">
            <w:pPr>
              <w:spacing w:after="20"/>
              <w:ind w:left="216"/>
              <w:jc w:val="both"/>
            </w:pPr>
            <w:r>
              <w:rPr>
                <w:rFonts w:ascii="Cambria" w:eastAsia="Cambria" w:hAnsi="Cambria" w:cs="Cambria"/>
                <w:b/>
                <w:color w:val="94A3B8"/>
                <w:sz w:val="22"/>
              </w:rPr>
              <w:t xml:space="preserve">› </w:t>
            </w:r>
            <w:r>
              <w:rPr>
                <w:rFonts w:eastAsia="Times New Roman" w:cs="Times New Roman"/>
                <w:sz w:val="22"/>
              </w:rPr>
              <w:t>Province is undefined for some remote postings; those rows are handled separately.</w:t>
            </w:r>
          </w:p>
        </w:tc>
      </w:tr>
    </w:tbl>
    <w:p w14:paraId="1D5D232A" w14:textId="72415D2D" w:rsidR="003D70F0" w:rsidRDefault="003D70F0" w:rsidP="007D6009">
      <w:pPr>
        <w:spacing w:after="120"/>
        <w:jc w:val="both"/>
      </w:pPr>
    </w:p>
    <w:tbl>
      <w:tblPr>
        <w:tblW w:w="5000" w:type="pct"/>
        <w:tblLook w:val="04A0" w:firstRow="1" w:lastRow="0" w:firstColumn="1" w:lastColumn="0" w:noHBand="0" w:noVBand="1"/>
      </w:tblPr>
      <w:tblGrid>
        <w:gridCol w:w="4320"/>
      </w:tblGrid>
      <w:tr w:rsidR="003D70F0" w14:paraId="7D7C5AF2" w14:textId="77777777" w:rsidTr="008831EA">
        <w:tc>
          <w:tcPr>
            <w:tcW w:w="5000" w:type="pct"/>
            <w:tcBorders>
              <w:top w:val="single" w:sz="12" w:space="0" w:color="1A1A2E"/>
            </w:tcBorders>
            <w:tcMar>
              <w:top w:w="120" w:type="dxa"/>
              <w:left w:w="0" w:type="dxa"/>
              <w:bottom w:w="80" w:type="dxa"/>
              <w:right w:w="0" w:type="dxa"/>
            </w:tcMar>
          </w:tcPr>
          <w:p w14:paraId="191AB1FD" w14:textId="77777777" w:rsidR="003D70F0" w:rsidRDefault="00803941" w:rsidP="007D6009">
            <w:pPr>
              <w:spacing w:after="0"/>
              <w:jc w:val="both"/>
            </w:pPr>
            <w:r>
              <w:rPr>
                <w:rFonts w:ascii="Calibri" w:eastAsia="Calibri" w:hAnsi="Calibri" w:cs="Calibri"/>
                <w:i/>
                <w:color w:val="475569"/>
                <w:sz w:val="18"/>
              </w:rPr>
              <w:t>Source: Kaggle Indeed.ca Canada Analyst Postings · Cleaned dataset in /Dataset/Cleaned_Dataset.csv</w:t>
            </w:r>
          </w:p>
          <w:p w14:paraId="302B0570" w14:textId="77777777" w:rsidR="003D70F0" w:rsidRDefault="00803941" w:rsidP="007D6009">
            <w:pPr>
              <w:spacing w:before="40" w:after="0"/>
              <w:jc w:val="both"/>
            </w:pPr>
            <w:r>
              <w:rPr>
                <w:rFonts w:ascii="Calibri" w:eastAsia="Calibri" w:hAnsi="Calibri" w:cs="Calibri"/>
                <w:color w:val="475569"/>
                <w:sz w:val="18"/>
              </w:rPr>
              <w:t>BAM-2053 · Data Visualization · Spring 2026 · Lambton College Ottawa</w:t>
            </w:r>
          </w:p>
        </w:tc>
      </w:tr>
    </w:tbl>
    <w:p w14:paraId="26B9FE23" w14:textId="77777777" w:rsidR="00803941" w:rsidRDefault="00803941"/>
    <w:sectPr w:rsidR="00803941" w:rsidSect="005E514D">
      <w:headerReference w:type="even" r:id="rId8"/>
      <w:headerReference w:type="default" r:id="rId9"/>
      <w:footerReference w:type="even" r:id="rId10"/>
      <w:footerReference w:type="default" r:id="rId11"/>
      <w:headerReference w:type="first" r:id="rId12"/>
      <w:footerReference w:type="first" r:id="rId13"/>
      <w:pgSz w:w="12240" w:h="15840"/>
      <w:pgMar w:top="1296" w:right="1440" w:bottom="1296" w:left="1440" w:header="720" w:footer="720" w:gutter="0"/>
      <w:cols w:num="2"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A6AB6D" w14:textId="77777777" w:rsidR="00803941" w:rsidRDefault="00803941" w:rsidP="005E514D">
      <w:pPr>
        <w:spacing w:after="0" w:line="240" w:lineRule="auto"/>
      </w:pPr>
      <w:r>
        <w:separator/>
      </w:r>
    </w:p>
  </w:endnote>
  <w:endnote w:type="continuationSeparator" w:id="0">
    <w:p w14:paraId="3296A9D6" w14:textId="77777777" w:rsidR="00803941" w:rsidRDefault="00803941" w:rsidP="005E51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C2244" w14:textId="77777777" w:rsidR="00311AE2" w:rsidRDefault="00311A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8110414"/>
      <w:docPartObj>
        <w:docPartGallery w:val="Page Numbers (Bottom of Page)"/>
        <w:docPartUnique/>
      </w:docPartObj>
    </w:sdtPr>
    <w:sdtEndPr>
      <w:rPr>
        <w:noProof/>
      </w:rPr>
    </w:sdtEndPr>
    <w:sdtContent>
      <w:p w14:paraId="2A22CBA4" w14:textId="3CACDDBB" w:rsidR="005E514D" w:rsidRDefault="005E514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896B34" w14:textId="77777777" w:rsidR="005E514D" w:rsidRDefault="005E51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A4C6B" w14:textId="77777777" w:rsidR="00311AE2" w:rsidRDefault="00311A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A9DBE6" w14:textId="77777777" w:rsidR="00803941" w:rsidRDefault="00803941" w:rsidP="005E514D">
      <w:pPr>
        <w:spacing w:after="0" w:line="240" w:lineRule="auto"/>
      </w:pPr>
      <w:r>
        <w:separator/>
      </w:r>
    </w:p>
  </w:footnote>
  <w:footnote w:type="continuationSeparator" w:id="0">
    <w:p w14:paraId="5E028403" w14:textId="77777777" w:rsidR="00803941" w:rsidRDefault="00803941" w:rsidP="005E51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71A63" w14:textId="506FBA57" w:rsidR="00311AE2" w:rsidRDefault="00311AE2">
    <w:pPr>
      <w:pStyle w:val="Header"/>
    </w:pPr>
    <w:r>
      <w:rPr>
        <w:noProof/>
      </w:rPr>
      <w:pict w14:anchorId="694C6C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655360" o:spid="_x0000_s2054" type="#_x0000_t75" style="position:absolute;margin-left:0;margin-top:0;width:226.1pt;height:66.7pt;z-index:-251657216;mso-position-horizontal:center;mso-position-horizontal-relative:margin;mso-position-vertical:center;mso-position-vertical-relative:margin" o:allowincell="f">
          <v:imagedata r:id="rId1" o:title="lambton-college-logo"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47674" w14:textId="33EC577A" w:rsidR="00311AE2" w:rsidRDefault="00311AE2">
    <w:pPr>
      <w:pStyle w:val="Header"/>
    </w:pPr>
    <w:r>
      <w:rPr>
        <w:noProof/>
      </w:rPr>
      <w:pict w14:anchorId="0CE4B4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655361" o:spid="_x0000_s2055" type="#_x0000_t75" style="position:absolute;margin-left:0;margin-top:0;width:226.1pt;height:66.7pt;z-index:-251656192;mso-position-horizontal:center;mso-position-horizontal-relative:margin;mso-position-vertical:center;mso-position-vertical-relative:margin" wrapcoords="2655 0 1794 243 -72 2912 -72 7766 359 11649 -72 12378 -72 14076 72 15533 1220 19416 1292 20872 4664 21357 12558 21357 13778 21357 13850 21357 15142 19416 15500 16746 15500 13834 10908 11649 15859 11649 21600 10193 21600 2912 20882 2427 14567 0 2655 0" o:allowincell="f">
          <v:imagedata r:id="rId1" o:title="lambton-college-logo"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3217C" w14:textId="0E5815E0" w:rsidR="00311AE2" w:rsidRDefault="00311AE2">
    <w:pPr>
      <w:pStyle w:val="Header"/>
    </w:pPr>
    <w:r>
      <w:rPr>
        <w:noProof/>
      </w:rPr>
      <w:pict w14:anchorId="644BF1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655359" o:spid="_x0000_s2053" type="#_x0000_t75" style="position:absolute;margin-left:0;margin-top:0;width:226.1pt;height:66.7pt;z-index:-251658240;mso-position-horizontal:center;mso-position-horizontal-relative:margin;mso-position-vertical:center;mso-position-vertical-relative:margin" wrapcoords="2655 0 1794 243 -72 2912 -72 7766 359 11649 -72 12378 -72 14076 72 15533 1220 19416 1292 20872 4664 21357 12558 21357 13778 21357 13850 21357 15142 19416 15500 16746 15500 13834 10908 11649 15859 11649 21600 10193 21600 2912 20882 2427 14567 0 2655 0" o:allowincell="f">
          <v:imagedata r:id="rId1" o:title="lambton-college-logo"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hdrShapeDefaults>
    <o:shapedefaults v:ext="edit" spidmax="2056"/>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4C75"/>
    <w:rsid w:val="0029639D"/>
    <w:rsid w:val="00311AE2"/>
    <w:rsid w:val="00326F90"/>
    <w:rsid w:val="003D70F0"/>
    <w:rsid w:val="00460275"/>
    <w:rsid w:val="00553413"/>
    <w:rsid w:val="005E514D"/>
    <w:rsid w:val="00630B43"/>
    <w:rsid w:val="007D6009"/>
    <w:rsid w:val="00803941"/>
    <w:rsid w:val="008831EA"/>
    <w:rsid w:val="00AA1D8D"/>
    <w:rsid w:val="00B47730"/>
    <w:rsid w:val="00C104F0"/>
    <w:rsid w:val="00CB0664"/>
    <w:rsid w:val="00D478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6"/>
    <o:shapelayout v:ext="edit">
      <o:idmap v:ext="edit" data="1"/>
    </o:shapelayout>
  </w:shapeDefaults>
  <w:decimalSymbol w:val=","/>
  <w:listSeparator w:val=";"/>
  <w14:docId w14:val="5660F278"/>
  <w14:defaultImageDpi w14:val="300"/>
  <w15:docId w15:val="{D6269099-64B0-4BFD-ABAA-C681F5A7D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F172A"/>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Pages>
  <Words>872</Words>
  <Characters>4796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herrera</cp:lastModifiedBy>
  <cp:revision>11</cp:revision>
  <dcterms:created xsi:type="dcterms:W3CDTF">2013-12-23T23:15:00Z</dcterms:created>
  <dcterms:modified xsi:type="dcterms:W3CDTF">2026-05-25T05:10:00Z</dcterms:modified>
  <cp:category/>
</cp:coreProperties>
</file>