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60C87" w14:textId="77777777" w:rsidR="009532F2" w:rsidRDefault="00000000">
      <w:pPr>
        <w:pStyle w:val="FirstParagraph"/>
      </w:pPr>
      <w:r>
        <w:t>Can you beat Bitcoin DCA with a simple signal?</w:t>
      </w:r>
    </w:p>
    <w:p w14:paraId="46FB8629" w14:textId="77777777" w:rsidR="009532F2" w:rsidRDefault="00000000">
      <w:pPr>
        <w:pStyle w:val="BodyText"/>
      </w:pPr>
      <w:r>
        <w:t>For my Georgia Tech OMSA practicum, I tried. The premise was well-motivated: technical analysis has deep roots (Magee &amp; Edwards established the visual pattern framework decades ago), and recent J.P. Morgan research demonstrated that CNNs can classify candlestick chart patterns with high accuracy. So the original hypothesis — train a CNN on candlestick images to predict next-day price direction — seemed reasonable.</w:t>
      </w:r>
    </w:p>
    <w:p w14:paraId="3A56BB0C" w14:textId="77777777" w:rsidR="009532F2" w:rsidRDefault="00000000">
      <w:pPr>
        <w:pStyle w:val="BodyText"/>
      </w:pPr>
      <w:r>
        <w:t>It wasn’t. On the tournament’s actual evaluation metric (recency-weighted sats-per-dollar across 3,076 rolling windows), the CNN scored 41.43%. A neutral baseline that buys the same amount every day? 41.94%.</w:t>
      </w:r>
    </w:p>
    <w:p w14:paraId="2C528145" w14:textId="77777777" w:rsidR="009532F2" w:rsidRDefault="00000000">
      <w:pPr>
        <w:pStyle w:val="BodyText"/>
      </w:pPr>
      <w:r>
        <w:t>Classification accuracy ≠ trading edge.</w:t>
      </w:r>
    </w:p>
    <w:p w14:paraId="7435F999" w14:textId="77777777" w:rsidR="009532F2" w:rsidRDefault="00000000">
      <w:pPr>
        <w:pStyle w:val="BodyText"/>
      </w:pPr>
      <w:r>
        <w:t>What actually worked was embarrassingly simple: take the OLS trend slope of Bitcoin’s log price over a 60-day window, normalize it as a z-score against a 252-day rolling standard deviation, clip outliers, and convert to a daily purchase weight.</w:t>
      </w:r>
    </w:p>
    <w:p w14:paraId="55B55200" w14:textId="77777777" w:rsidR="009532F2" w:rsidRDefault="00000000">
      <w:pPr>
        <w:pStyle w:val="BodyText"/>
      </w:pPr>
      <w:r>
        <w:t>Result: 44.95% tournament percentile — a +3.01 percentage point improvement over neutral DCA.</w:t>
      </w:r>
    </w:p>
    <w:p w14:paraId="2817A7BD" w14:textId="77777777" w:rsidR="009532F2" w:rsidRDefault="00000000">
      <w:pPr>
        <w:pStyle w:val="BodyText"/>
      </w:pPr>
      <w:r>
        <w:t>The key insight isn’t prediction. It’s regime awareness. Bitcoin’s volatility clusters. Bull and bear periods have statistically distinct return distributions (Mann-Whitney U test, p &lt; 0.001). By normalizing the trend against its own recent volatility, the signal automatically adapts — spending slightly less during overextended conditions and slightly more during depressed ones.</w:t>
      </w:r>
    </w:p>
    <w:p w14:paraId="2E8ABA0E" w14:textId="77777777" w:rsidR="009532F2" w:rsidRDefault="00000000">
      <w:pPr>
        <w:pStyle w:val="BodyText"/>
      </w:pPr>
      <w:r>
        <w:t>Several ideas that seemed promising added no value: volatility-amplitude scaling was redundant (the z-score already captures volatility implicitly), weekly resampling underperformed by -0.90 percentage points, and proportional transaction fees are mathematically percentile-invariant in this evaluation framework.</w:t>
      </w:r>
    </w:p>
    <w:p w14:paraId="1B106E00" w14:textId="77777777" w:rsidR="009532F2" w:rsidRDefault="00000000">
      <w:pPr>
        <w:pStyle w:val="BodyText"/>
      </w:pPr>
      <w:r>
        <w:t>Sometimes the best model is the simplest one that accounts for structure in the data.</w:t>
      </w:r>
    </w:p>
    <w:p w14:paraId="6058B157" w14:textId="77777777" w:rsidR="009532F2" w:rsidRDefault="00000000">
      <w:pPr>
        <w:pStyle w:val="BodyText"/>
      </w:pPr>
      <w:r>
        <w:t>Full analysis, code, and reproducibility package: https://github.com/Katzup/bitcoin-analytics-capstone-template 7-minute video walkthrough: https://youtu.be/dPQTMGjO_cM</w:t>
      </w:r>
    </w:p>
    <w:p w14:paraId="4598516A" w14:textId="77777777" w:rsidR="009532F2" w:rsidRDefault="00000000">
      <w:pPr>
        <w:pStyle w:val="BodyText"/>
      </w:pPr>
      <w:r>
        <w:t>#Bitcoin #QuantFinance #DataScience #GeorgiaTech #OMSA #DCA #MachineLearning</w:t>
      </w:r>
    </w:p>
    <w:sectPr w:rsidR="009532F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E7072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13502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32F2"/>
    <w:rsid w:val="008E6777"/>
    <w:rsid w:val="009532F2"/>
    <w:rsid w:val="00B8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C6C400"/>
  <w15:docId w15:val="{33DD791D-21B9-6D45-9B3C-36087934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274</Words>
  <Characters>1802</Characters>
  <Application>Microsoft Office Word</Application>
  <DocSecurity>0</DocSecurity>
  <Lines>29</Lines>
  <Paragraphs>11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Bob Katz</cp:lastModifiedBy>
  <cp:revision>2</cp:revision>
  <dcterms:created xsi:type="dcterms:W3CDTF">2026-03-25T22:25:00Z</dcterms:created>
  <dcterms:modified xsi:type="dcterms:W3CDTF">2026-03-25T22:28:00Z</dcterms:modified>
</cp:coreProperties>
</file>