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TCC I - Secoes atualizadas (sistema Econom-IA)</w:t>
      </w:r>
    </w:p>
    <w:p>
      <w:r>
        <w:t>Documento de apoio: secoes do TCC I reescritas para refletir o estado atual do sistema. As secoes 1 (Introducao), 2 (Revisao da Literatura), 4 (Cronograma) e as Referencias permanecem sem alteracao.</w:t>
      </w:r>
    </w:p>
    <w:p>
      <w:pPr>
        <w:pStyle w:val="Heading1"/>
      </w:pPr>
      <w:r>
        <w:t>3.5 Alertas integrados</w:t>
      </w:r>
    </w:p>
    <w:p>
      <w:r>
        <w:t>A interface conta com um sistema de alertas visuais. Quando o modelo identifica um sinal de compra ou venda em uma acao, o usuario visualiza um banner destacado no Painel Avancado, contendo o nome do ativo, o tipo de sinal, o preco atual e a estimativa de variacao. A consolidacao desses sinais tambem e apresentada na tela inicial, em um resumo dos quatro ativos monitorados.</w:t>
      </w:r>
    </w:p>
    <w:p>
      <w:r>
        <w:t>Uma secao dedicada ao historico de alertas, que permitira ao usuario acompanhar todos os sinais emitidos nos ultimos periodos e realizar a analise retrospectiva do desempenho do modelo, encontra-se em desenvolvimento, com entrega prevista para o TC II.</w:t>
      </w:r>
    </w:p>
    <w:p>
      <w:pPr>
        <w:pStyle w:val="Heading1"/>
      </w:pPr>
      <w:r>
        <w:t>5 RESULTADOS PARCIAIS</w:t>
      </w:r>
    </w:p>
    <w:p>
      <w:r>
        <w:t>Esta secao apresenta os resultados parciais obtidos durante a execucao do TC I, abrangendo a implementacao da interface web, a estruturacao do pipeline de dados, o treinamento inicial do modelo de classificacao Random Forest e a analise das metricas de desempenho geradas. Os resultados aqui descritos validam o funcionamento integrado de toda a cadeia tecnica concebida e fornecem a base para os ajustes e comparacoes previstos para a etapa subsequente do trabalho.</w:t>
      </w:r>
    </w:p>
    <w:p>
      <w:pPr>
        <w:pStyle w:val="Heading2"/>
      </w:pPr>
      <w:r>
        <w:t>5.1 Implementacao da interface</w:t>
      </w:r>
    </w:p>
    <w:p>
      <w:r>
        <w:t>A interface web, denominada Econom-IA, encontra-se funcional no estado atual do projeto. Adota tema escuro como padrao, decisao tomada com base na reducao do cansaco visual em sessoes prolongadas de analise e no alinhamento estetico com plataformas consolidadas do setor financeiro, como Binance, TradingView e o terminal Bloomberg. Nesta etapa (TC I), o visual foi mantido propositalmente simples e limpo, reservando o refinamento estetico - identidade visual, logotipo e aprimoramento do front-end - para o TC II.</w:t>
      </w:r>
    </w:p>
    <w:p>
      <w:r>
        <w:t>A navegacao e organizada em uma barra lateral fixa com tres secoes: Inicio, Analise e Ferramentas. A secao Inicio concentra a tela de boas-vindas, que combina uma saudacao contextualizada (variando conforme o turno do dia e o humor do mercado) e quatro cards com indicadores macroeconomicos atualizados em tempo real: o IBOVESPA e o dolar (USD/BRL), obtidos por meio da biblioteca yfinance (Yahoo Finance), e a Taxa Selic e o IPCA acumulado em doze meses, obtidos pela API publica do Banco Central do Brasil. A tela apresenta ainda um resumo consolidado dos sinais gerados pelo modelo para os quatro ativos monitorados. Uma area destinada as manchetes do mercado financeiro esta prevista para o TC II.</w:t>
      </w:r>
    </w:p>
    <w:p>
      <w:r>
        <w:t>Para atender ao publico-alvo heterogeneo do sistema, foram desenvolvidas duas telas distintas de analise: o Painel Iniciante, voltado a usuarios com pouca familiaridade no dominio, e o Painel Avancado, destinado a investidores experientes. O Painel Iniciante apresenta a analise de cada acao com linguagem cotidiana, perguntas diretas e respostas em texto narrativo, exibindo apenas tres cartoes principais (preco atual, variacao do ultimo mes e estimativa para os proximos pregoes). O Painel Avancado exibe todos os indicadores tecnicos com seus valores numericos brutos, o grafico interativo com os sinais sobrepostos e os cenarios estatisticos de predicao. Em ambas as telas o usuario pode selecionar o ativo e o periodo exibido no grafico (ultimo mes, seis meses, um ano ou todo o historico desde 2019), sendo os ultimos seis meses o periodo exibido por padrao. Essa abordagem segue o conceito de progressive disclosure no design de interfaces, no qual a complexidade e revelada gradualmente conforme a necessidade do usuario.</w:t>
      </w:r>
    </w:p>
    <w:p>
      <w:r>
        <w:t>A secao Ferramentas reune recursos complementares - o assistente conversacional EconomIA, o painel Previsoes &amp; Macro e o Centro de Alertas -, cujas funcionalidades estao em desenvolvimento, com entrega prevista para o TC II (ver secoes 3.5 e 5.5).</w:t>
      </w:r>
    </w:p>
    <w:p>
      <w:r>
        <w:t>Para garantir desempenho fluido na navegacao, o framework Streamlit utiliza mecanismos nativos de cache: os dados sao armazenados em memoria apos a primeira leitura por meio do decorador @st.cache_data, e o modelo treinado e mantido carregado durante toda a sessao com @st.cache_resource.</w:t>
      </w:r>
    </w:p>
    <w:p>
      <w:pPr>
        <w:pStyle w:val="Heading2"/>
      </w:pPr>
      <w:r>
        <w:t>5.2 Pipeline de dados e estrutura de armazenamento</w:t>
      </w:r>
    </w:p>
    <w:p>
      <w:r>
        <w:t>Foi realizada a coleta dos dados para os quatro ativos selecionados (ITUB4, BBDC4, BBAS3 e SANB11), abrangendo o periodo compreendido entre janeiro de 2019 e setembro de 2025, totalizando 6.968 registros diarios de OHLCV (abertura, maxima, minima, fechamento e volume). A engenharia de atributos foi aplicada sobre esse conjunto, produzindo as variaveis derivadas necessarias ao treinamento: RSI de 14 periodos, MACD com configuracao padrao (12, 26, 9), medias moveis simples e exponenciais de 9, 21 e 50 periodos, e Bandas de Bollinger de 20 periodos. Apos o warm-up dos indicadores e o tratamento de valores ausentes, o dataset final consolidou-se em 6.732 registros validos com a variavel-alvo de classificacao atribuida.</w:t>
      </w:r>
    </w:p>
    <w:p>
      <w:r>
        <w:t>A arquitetura de armazenamento adotada baseia-se em arquivos persistidos em disco, sem necessidade de um sistema gerenciador de banco de dados relacional. Os datasets sao salvos em formato Parquet, que oferece compressao colunar nativa, leitura rapida em pandas e portabilidade entre maquinas (McKinney, 2010). Apos o treinamento realizado nesta primeira etapa, o modelo Random Forest e serializado por meio da biblioteca joblib, gerando o arquivo random_forest.pkl, enquanto as metricas obtidas sao salvas em arquivo JSON estruturado. A interface consome esses arquivos diretamente, de modo que qualquer novo treinamento do modelo se reflete automaticamente nas informacoes apresentadas, sem necessidade de alteracoes no codigo.</w:t>
      </w:r>
    </w:p>
    <w:p>
      <w:pPr>
        <w:pStyle w:val="Heading2"/>
      </w:pPr>
      <w:r>
        <w:t>5.3 Treinamento do modelo e metricas obtidas</w:t>
      </w:r>
    </w:p>
    <w:p>
      <w:r>
        <w:t>Conforme descrito na secao 3.3, os algoritmos previstos para o trabalho sao Random Forest, SVM e LSTM. Nesta primeira etapa, foi realizado o treinamento do Random Forest como ponto de partida para validar a cadeia tecnica completa. O modelo foi configurado com 150 arvores, profundidade maxima de 10 niveis, min_samples_leaf igual a 10 e balanceamento automatico das classes para mitigar o desbalanceamento natural do problema. A acao SANB11 foi reservada integralmente como conjunto de validacao out-of-sample, totalizando 1.683 registros nunca vistos pelo modelo durante o aprendizado. Os 5.049 registros restantes, referentes as acoes ITUB4, BBDC4 e BBAS3, foram divididos em 70% para treino (3.534 registros) e 30% para teste (1.515 registros), respeitando rigorosamente a ordem cronologica.</w:t>
      </w:r>
    </w:p>
    <w:p>
      <w:r>
        <w:t>Os sinais de compra, venda e neutralidade exibidos na interface sao gerados por esse modelo treinado, a partir dos indicadores tecnicos calculados para cada ativo, em conformidade com a metodologia descrita na secao 3.</w:t>
      </w:r>
    </w:p>
    <w:p>
      <w:r>
        <w:t>A validacao cruzada temporal com cinco folds (TimeSeriesSplit) resultou em F1-Score macro medio de 0,3307, com desvio-padrao de 0,0299 entre os folds. No conjunto de teste, formado pelas mesmas acoes do treinamento, mas em periodo cronologicamente posterior, o modelo obteve F1-Score macro de 0,3238, Precision macro de 0,3263, Recall macro de 0,3234 e acuracia de 0,3254. No conjunto out-of-sample referente a SANB11, o desempenho foi ligeiramente superior: F1-Score macro de 0,3596, Precision macro de 0,3601, Recall macro de 0,3600 e acuracia de 0,3678.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Metrica (macro)</w:t>
            </w:r>
          </w:p>
        </w:tc>
        <w:tc>
          <w:tcPr>
            <w:tcW w:type="dxa" w:w="2880"/>
          </w:tcPr>
          <w:p>
            <w:pPr>
              <w:jc w:val="center"/>
            </w:pPr>
            <w:r>
              <w:rPr>
                <w:rFonts w:ascii="Times New Roman" w:hAnsi="Times New Roman"/>
                <w:b/>
                <w:sz w:val="22"/>
              </w:rPr>
              <w:t>Conjunto de teste</w:t>
            </w:r>
          </w:p>
        </w:tc>
        <w:tc>
          <w:tcPr>
            <w:tcW w:type="dxa" w:w="2880"/>
          </w:tcPr>
          <w:p>
            <w:pPr>
              <w:jc w:val="center"/>
            </w:pPr>
            <w:r>
              <w:rPr>
                <w:rFonts w:ascii="Times New Roman" w:hAnsi="Times New Roman"/>
                <w:b/>
                <w:sz w:val="22"/>
              </w:rPr>
              <w:t>Out-of-sample (SANB11)</w:t>
            </w:r>
          </w:p>
        </w:tc>
      </w:tr>
      <w:tr>
        <w:tc>
          <w:tcPr>
            <w:tcW w:type="dxa" w:w="2880"/>
          </w:tcPr>
          <w:p>
            <w:pPr>
              <w:jc w:val="center"/>
            </w:pPr>
            <w:r>
              <w:rPr>
                <w:rFonts w:ascii="Times New Roman" w:hAnsi="Times New Roman"/>
                <w:sz w:val="22"/>
              </w:rPr>
              <w:t>F1-Score</w:t>
            </w:r>
          </w:p>
        </w:tc>
        <w:tc>
          <w:tcPr>
            <w:tcW w:type="dxa" w:w="2880"/>
          </w:tcPr>
          <w:p>
            <w:pPr>
              <w:jc w:val="center"/>
            </w:pPr>
            <w:r>
              <w:rPr>
                <w:rFonts w:ascii="Times New Roman" w:hAnsi="Times New Roman"/>
                <w:sz w:val="22"/>
              </w:rPr>
              <w:t>0,3238</w:t>
            </w:r>
          </w:p>
        </w:tc>
        <w:tc>
          <w:tcPr>
            <w:tcW w:type="dxa" w:w="2880"/>
          </w:tcPr>
          <w:p>
            <w:pPr>
              <w:jc w:val="center"/>
            </w:pPr>
            <w:r>
              <w:rPr>
                <w:rFonts w:ascii="Times New Roman" w:hAnsi="Times New Roman"/>
                <w:sz w:val="22"/>
              </w:rPr>
              <w:t>0,3596</w:t>
            </w:r>
          </w:p>
        </w:tc>
      </w:tr>
      <w:tr>
        <w:tc>
          <w:tcPr>
            <w:tcW w:type="dxa" w:w="2880"/>
          </w:tcPr>
          <w:p>
            <w:pPr>
              <w:jc w:val="center"/>
            </w:pPr>
            <w:r>
              <w:rPr>
                <w:rFonts w:ascii="Times New Roman" w:hAnsi="Times New Roman"/>
                <w:sz w:val="22"/>
              </w:rPr>
              <w:t>Precision</w:t>
            </w:r>
          </w:p>
        </w:tc>
        <w:tc>
          <w:tcPr>
            <w:tcW w:type="dxa" w:w="2880"/>
          </w:tcPr>
          <w:p>
            <w:pPr>
              <w:jc w:val="center"/>
            </w:pPr>
            <w:r>
              <w:rPr>
                <w:rFonts w:ascii="Times New Roman" w:hAnsi="Times New Roman"/>
                <w:sz w:val="22"/>
              </w:rPr>
              <w:t>0,3263</w:t>
            </w:r>
          </w:p>
        </w:tc>
        <w:tc>
          <w:tcPr>
            <w:tcW w:type="dxa" w:w="2880"/>
          </w:tcPr>
          <w:p>
            <w:pPr>
              <w:jc w:val="center"/>
            </w:pPr>
            <w:r>
              <w:rPr>
                <w:rFonts w:ascii="Times New Roman" w:hAnsi="Times New Roman"/>
                <w:sz w:val="22"/>
              </w:rPr>
              <w:t>0,3601</w:t>
            </w:r>
          </w:p>
        </w:tc>
      </w:tr>
      <w:tr>
        <w:tc>
          <w:tcPr>
            <w:tcW w:type="dxa" w:w="2880"/>
          </w:tcPr>
          <w:p>
            <w:pPr>
              <w:jc w:val="center"/>
            </w:pPr>
            <w:r>
              <w:rPr>
                <w:rFonts w:ascii="Times New Roman" w:hAnsi="Times New Roman"/>
                <w:sz w:val="22"/>
              </w:rPr>
              <w:t>Recall</w:t>
            </w:r>
          </w:p>
        </w:tc>
        <w:tc>
          <w:tcPr>
            <w:tcW w:type="dxa" w:w="2880"/>
          </w:tcPr>
          <w:p>
            <w:pPr>
              <w:jc w:val="center"/>
            </w:pPr>
            <w:r>
              <w:rPr>
                <w:rFonts w:ascii="Times New Roman" w:hAnsi="Times New Roman"/>
                <w:sz w:val="22"/>
              </w:rPr>
              <w:t>0,3234</w:t>
            </w:r>
          </w:p>
        </w:tc>
        <w:tc>
          <w:tcPr>
            <w:tcW w:type="dxa" w:w="2880"/>
          </w:tcPr>
          <w:p>
            <w:pPr>
              <w:jc w:val="center"/>
            </w:pPr>
            <w:r>
              <w:rPr>
                <w:rFonts w:ascii="Times New Roman" w:hAnsi="Times New Roman"/>
                <w:sz w:val="22"/>
              </w:rPr>
              <w:t>0,3600</w:t>
            </w:r>
          </w:p>
        </w:tc>
      </w:tr>
      <w:tr>
        <w:tc>
          <w:tcPr>
            <w:tcW w:type="dxa" w:w="2880"/>
          </w:tcPr>
          <w:p>
            <w:pPr>
              <w:jc w:val="center"/>
            </w:pPr>
            <w:r>
              <w:rPr>
                <w:rFonts w:ascii="Times New Roman" w:hAnsi="Times New Roman"/>
                <w:sz w:val="22"/>
              </w:rPr>
              <w:t>Acuracia</w:t>
            </w:r>
          </w:p>
        </w:tc>
        <w:tc>
          <w:tcPr>
            <w:tcW w:type="dxa" w:w="2880"/>
          </w:tcPr>
          <w:p>
            <w:pPr>
              <w:jc w:val="center"/>
            </w:pPr>
            <w:r>
              <w:rPr>
                <w:rFonts w:ascii="Times New Roman" w:hAnsi="Times New Roman"/>
                <w:sz w:val="22"/>
              </w:rPr>
              <w:t>0,3254</w:t>
            </w:r>
          </w:p>
        </w:tc>
        <w:tc>
          <w:tcPr>
            <w:tcW w:type="dxa" w:w="2880"/>
          </w:tcPr>
          <w:p>
            <w:pPr>
              <w:jc w:val="center"/>
            </w:pPr>
            <w:r>
              <w:rPr>
                <w:rFonts w:ascii="Times New Roman" w:hAnsi="Times New Roman"/>
                <w:sz w:val="22"/>
              </w:rPr>
              <w:t>0,3678</w:t>
            </w:r>
          </w:p>
        </w:tc>
      </w:tr>
    </w:tbl>
    <w:p/>
    <w:p>
      <w:r>
        <w:t>A analise da importancia das features indicou que os tres indicadores tecnicos com maior contribuicao nas decisoes do modelo foram o z-score do histograma do MACD (15,99%), a razao entre o preco de fechamento e a media movel simples de 9 periodos (13,35%) e a razao entre o preco de fechamento e a media movel simples de 50 periodos (12,87%); o RSI de 14 periodos aparece logo em seguida (12,14%). Em conjunto, os tres principais indicadores respondem por aproximadamente 42% da capacidade discriminativa do modelo, validando empiricamente a relevancia da combinacao entre indicadores de momento (MACD) e de tendencia (medias moveis), ja estabelecida na literatura de analise tecnica (Achelis, 2013).</w:t>
      </w:r>
    </w:p>
    <w:p>
      <w:pPr>
        <w:pStyle w:val="Heading2"/>
      </w:pPr>
      <w:r>
        <w:t>5.4 Analise dos resultados parciais</w:t>
      </w:r>
    </w:p>
    <w:p>
      <w:r>
        <w:t>Os valores obtidos nesta primeira execucao do treinamento encontram-se proximos do desempenho esperado de um classificador aleatorio, que seria de aproximadamente 0,333 para um problema balanceado de tres classes. Esse resultado, embora modesto em termos absolutos, e considerado coerente e satisfatorio para esta fase do projeto, pois confirma o funcionamento integrado de toda a cadeia tecnica concebida: a coleta dos dados via API, o calculo correto dos indicadores tecnicos, a criacao adequada da variavel-alvo, a divisao temporal respeitada, o treinamento estavel do modelo, a persistencia dos artefatos e o consumo automatizado das metricas pela interface.</w:t>
      </w:r>
    </w:p>
    <w:p>
      <w:r>
        <w:t>Observou-se ainda que o desempenho no conjunto out-of-sample (SANB11) foi ligeiramente superior ao desempenho no conjunto de teste com as mesmas acoes do treinamento, o que sugere ausencia de overfitting significativo aos ativos especificos utilizados durante o aprendizado. Esse comportamento corrobora a estrategia de treinamento generalista descrita por Najem et al. (2024), segundo a qual modelos treinados com dados de multiplos ativos tendem a aprender padroes mais universais dos indicadores tecnicos.</w:t>
      </w:r>
    </w:p>
    <w:p>
      <w:r>
        <w:t>Considerando o desempenho ainda proximo do aleatorio, fica evidente a necessidade de ajustes adicionais nas proximas etapas do projeto. As principais direcoes identificadas para a continuidade do trabalho incluem o ajuste sistematico de hiperparametros por meio de busca em grade ou validacao bayesiana, a inclusao de novas variaveis explicativas (volume normalizado, volatilidade e defasagens do retorno), a comparacao experimental com os modelos SVM e LSTM previstos no escopo original, e a reavaliacao do limiar de classificacao atualmente fixado em +/-1,5%.</w:t>
      </w:r>
    </w:p>
    <w:p>
      <w:pPr>
        <w:pStyle w:val="Heading2"/>
      </w:pPr>
      <w:r>
        <w:t>5.5 Painel macroeconomico e integracao com mercado de previsao</w:t>
      </w:r>
    </w:p>
    <w:p>
      <w:r>
        <w:t>Foi planejada uma tela complementar denominada Previsoes &amp; Macro, voltada a contextualizacao macroeconomica dos sinais gerados pelo modelo. Essa tela reunira cards informativos com as principais taxas e indicadores brasileiros relevantes para o setor bancario (Taxa Selic, IPCA acumulado em doze meses, Taxa do Fed Funds americano e cotacao do dolar comercial); cards com os rendimentos dos titulos do Tesouro americano (Treasury Yields); um grafico historico comparativo entre a Taxa Selic e o IPCA; e um painel dedicado ao mercado de previsao Polymarket, exibindo as probabilidades agregadas para a proxima decisao do Copom sobre a Taxa Selic.</w:t>
      </w:r>
    </w:p>
    <w:p>
      <w:r>
        <w:t>A incorporacao do Polymarket representa uma das contribuicoes originais deste trabalho. Mercados de previsao (prediction markets) sao instrumentos em que participantes apostam valores reais sobre o resultado de eventos futuros, e cujos precos agregados refletem com notavel precisao a expectativa coletiva dos agentes (Wolfers; Zitzewitz, 2004).</w:t>
      </w:r>
    </w:p>
    <w:p>
      <w:r>
        <w:t>Cabe destacar que esses indicadores macroeconomicos tem carater exclusivamente contextual e nao sao utilizados como entrada do modelo de classificacao - os sinais de compra e venda derivam unicamente dos indicadores tecnicos processados pelo Random Forest. Esta tela encontra-se em desenvolvimento: a automatizacao da leitura dos indicadores por meio das APIs do Banco Central do Brasil, do sistema FRED (Federal Reserve Economic Data) e do Polymarket esta prevista para o TC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