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BASILISK</w:t>
      </w:r>
    </w:p>
    <w:p>
      <w:pPr>
        <w:spacing w:after="100"/>
        <w:jc w:val="center"/>
      </w:pPr>
      <w:r>
        <w:rPr>
          <w:rFonts w:ascii="Arial" w:cs="Arial" w:eastAsia="Arial" w:hAnsi="Arial"/>
          <w:color w:val="2E8B57"/>
          <w:sz w:val="36"/>
          <w:szCs w:val="36"/>
        </w:rPr>
        <w:t xml:space="preserve">Software House</w:t>
      </w:r>
    </w:p>
    <w:p>
      <w:pPr>
        <w:pBdr>
          <w:bottom w:val="single" w:color="2E8B57" w:sz="6" w:space="12"/>
        </w:pBdr>
        <w:spacing w:after="4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Jurídico — Contratos, LGPD e Documentação Legal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Versão 1.0 — Março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Documento Confidencial</w:t>
      </w:r>
    </w:p>
    <w:p>
      <w:r>
        <w:br w:type="page"/>
      </w:r>
    </w:p>
    <w:p>
      <w:pPr>
        <w:pStyle w:val="Heading1"/>
        <w:spacing w:before="360" w:after="200"/>
      </w:pPr>
      <w:r>
        <w:t xml:space="preserve">1. Visão Geral Jurídica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Este documento não substitui assessoria jurídica, mas estrutura os documentos legais mínimos que a Basilisk precisa para operar com segurança. Recomenda-se que todos os templates sejam revisados por um advogado antes do primeiro uso.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1.1 Documentos Legais Necessários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1800"/>
        <w:gridCol w:w="1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Contrato de Prestação de Serviços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Todo projeto acima de R$ 3.000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Crítica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NDA (Acordo de Confidencialidade)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Quando o cliente compartilha informações sensíveis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Termos de Serviço (SaaS)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Para produtos próprios com usuários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 (quando lançar SaaS)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Política de Privacidade (LGPD)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Todo produto/site que coleta dados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Obrigatória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Proposta Comercial (vinculante)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Projetos onde a proposta vira parte do contrato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Contrato de Freelancer / PJ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Ao contratar colaboradores PJ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Quando contratar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Bdr>
          <w:bottom w:val="single" w:color="2E8B57" w:sz="4" w:space="8"/>
        </w:pBdr>
        <w:spacing w:before="100" w:after="100"/>
      </w:pPr>
    </w:p>
    <w:p>
      <w:pPr>
        <w:pStyle w:val="Heading1"/>
        <w:spacing w:before="360" w:after="200"/>
      </w:pPr>
      <w:r>
        <w:t xml:space="preserve">2. Contrato de Prestação de Serviços — Cláusulas Essenciais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Toda prestação de serviço deve ter contrato. Estas são as cláusulas mínimas: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2.1 Identificação das Partes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333333"/>
          <w:sz w:val="22"/>
          <w:szCs w:val="22"/>
        </w:rPr>
        <w:t xml:space="preserve">Dados completos do contratante (CNPJ/CPF, endereço, representante legal).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333333"/>
          <w:sz w:val="22"/>
          <w:szCs w:val="22"/>
        </w:rPr>
        <w:t xml:space="preserve">Dados completos da Basilisk (CNPJ, endereço, representante).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2.2 Objeto do Contrato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333333"/>
          <w:sz w:val="22"/>
          <w:szCs w:val="22"/>
        </w:rPr>
        <w:t xml:space="preserve">Descrição clara do que será entregue (anexar proposta aprovada como parte do contrato).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333333"/>
          <w:sz w:val="22"/>
          <w:szCs w:val="22"/>
        </w:rPr>
        <w:t xml:space="preserve">Escopo detalhado: o que está INCLUSO e o que está FORA do escopo.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333333"/>
          <w:sz w:val="22"/>
          <w:szCs w:val="22"/>
        </w:rPr>
        <w:t xml:space="preserve">Critérios de aceite: como o cliente valida que a entrega está conforme.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2.3 Valor e Pagamento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333333"/>
          <w:sz w:val="22"/>
          <w:szCs w:val="22"/>
        </w:rPr>
        <w:t xml:space="preserve">Valor total do projeto.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333333"/>
          <w:sz w:val="22"/>
          <w:szCs w:val="22"/>
        </w:rPr>
        <w:t xml:space="preserve">Condições de pagamento (sinal + parcelas com datas).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333333"/>
          <w:sz w:val="22"/>
          <w:szCs w:val="22"/>
        </w:rPr>
        <w:t xml:space="preserve">Multa por atraso de pagamento (2% + juros de 1% a.m. é padrão).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333333"/>
          <w:sz w:val="22"/>
          <w:szCs w:val="22"/>
        </w:rPr>
        <w:t xml:space="preserve">O trabalho é pausado se o pagamento atrasar mais de X dias.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2.4 Prazos e Cronograma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color w:val="333333"/>
          <w:sz w:val="22"/>
          <w:szCs w:val="22"/>
        </w:rPr>
        <w:t xml:space="preserve">Data de início e data estimada de conclusão.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color w:val="333333"/>
          <w:sz w:val="22"/>
          <w:szCs w:val="22"/>
        </w:rPr>
        <w:t xml:space="preserve">Marcos intermediários com entregas e validações.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color w:val="333333"/>
          <w:sz w:val="22"/>
          <w:szCs w:val="22"/>
        </w:rPr>
        <w:t xml:space="preserve">Cláusula: atrasos causados pelo cliente (falta de feedback, materiais) não contam contra o prazo da Basilisk.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2.5 Alterações de Escopo (Change Request)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color w:val="333333"/>
          <w:sz w:val="22"/>
          <w:szCs w:val="22"/>
        </w:rPr>
        <w:t xml:space="preserve">Qualquer alteração fora do escopo original requer aprovação formal por escrito.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color w:val="333333"/>
          <w:sz w:val="22"/>
          <w:szCs w:val="22"/>
        </w:rPr>
        <w:t xml:space="preserve">Alterações geram novo orçamento e podem impactar o prazo.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color w:val="333333"/>
          <w:sz w:val="22"/>
          <w:szCs w:val="22"/>
        </w:rPr>
        <w:t xml:space="preserve">A Basilisk não é obrigada a aceitar change requests que descaracterizem o projeto.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2.6 Propriedade Intelectual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color w:val="333333"/>
          <w:sz w:val="22"/>
          <w:szCs w:val="22"/>
        </w:rPr>
        <w:t xml:space="preserve">Código fonte é transferido ao cliente após quitação total.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color w:val="333333"/>
          <w:sz w:val="22"/>
          <w:szCs w:val="22"/>
        </w:rPr>
        <w:t xml:space="preserve">Bibliotecas internas da Basilisk (@basilisk/*) não são transferidas — são licenciadas para uso no projeto.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color w:val="333333"/>
          <w:sz w:val="22"/>
          <w:szCs w:val="22"/>
        </w:rPr>
        <w:t xml:space="preserve">A Basilisk pode usar o projeto como referência no portfólio (salvo cláusula de confidencialidade).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color w:val="333333"/>
          <w:sz w:val="22"/>
          <w:szCs w:val="22"/>
        </w:rPr>
        <w:t xml:space="preserve">Componentes genéricos criados durante o projeto podem ser incorporados às bibliotecas internas.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2.7 Garantia e Suporte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color w:val="333333"/>
          <w:sz w:val="22"/>
          <w:szCs w:val="22"/>
        </w:rPr>
        <w:t xml:space="preserve">Período de garantia: 15–30 dias para correção de bugs sem custo.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color w:val="333333"/>
          <w:sz w:val="22"/>
          <w:szCs w:val="22"/>
        </w:rPr>
        <w:t xml:space="preserve">Garantia cobre apenas bugs (comportamento diferente do especificado), não novas funcionalidades.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color w:val="333333"/>
          <w:sz w:val="22"/>
          <w:szCs w:val="22"/>
        </w:rPr>
        <w:t xml:space="preserve">Suporte pós-garantia: orçamento separado (retainer ou hora técnica).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2.8 Confidencialidade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color w:val="333333"/>
          <w:sz w:val="22"/>
          <w:szCs w:val="22"/>
        </w:rPr>
        <w:t xml:space="preserve">Ambas as partes se comprometem a não divulgar informações confidenciais.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color w:val="333333"/>
          <w:sz w:val="22"/>
          <w:szCs w:val="22"/>
        </w:rPr>
        <w:t xml:space="preserve">Duração: durante o contrato + 2 anos após o término.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color w:val="333333"/>
          <w:sz w:val="22"/>
          <w:szCs w:val="22"/>
        </w:rPr>
        <w:t xml:space="preserve">Exceções: informações que se tornem públicas ou que já eram conhecidas.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2.9 Rescisão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color w:val="333333"/>
          <w:sz w:val="22"/>
          <w:szCs w:val="22"/>
        </w:rPr>
        <w:t xml:space="preserve">Rescisão por qualquer das partes com aviso prévio de 15–30 dias.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color w:val="333333"/>
          <w:sz w:val="22"/>
          <w:szCs w:val="22"/>
        </w:rPr>
        <w:t xml:space="preserve">Trabalho realizado até a data de rescisão é cobrado proporcionalmente.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color w:val="333333"/>
          <w:sz w:val="22"/>
          <w:szCs w:val="22"/>
        </w:rPr>
        <w:t xml:space="preserve">Código produzido até a rescisão é entregue mediante quitação.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color w:val="333333"/>
          <w:sz w:val="22"/>
          <w:szCs w:val="22"/>
        </w:rPr>
        <w:t xml:space="preserve">Multa por rescisão sem justa causa: 20% do valor restante (negociável).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2.10 Foro e Legislação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color w:val="333333"/>
          <w:sz w:val="22"/>
          <w:szCs w:val="22"/>
        </w:rPr>
        <w:t xml:space="preserve">Foro: comarca da sede da Basilisk.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color w:val="333333"/>
          <w:sz w:val="22"/>
          <w:szCs w:val="22"/>
        </w:rPr>
        <w:t xml:space="preserve">Legislação aplicável: leis brasileiras, Código Civil.</w:t>
      </w:r>
    </w:p>
    <w:p>
      <w:pPr>
        <w:spacing w:after="80"/>
      </w:pPr>
    </w:p>
    <w:p>
      <w:r>
        <w:br w:type="page"/>
      </w:r>
    </w:p>
    <w:p>
      <w:pPr>
        <w:pBdr>
          <w:bottom w:val="single" w:color="2E8B57" w:sz="4" w:space="8"/>
        </w:pBdr>
        <w:spacing w:before="100" w:after="100"/>
      </w:pPr>
    </w:p>
    <w:p>
      <w:pPr>
        <w:pStyle w:val="Heading1"/>
        <w:spacing w:before="360" w:after="200"/>
      </w:pPr>
      <w:r>
        <w:t xml:space="preserve">3. LGPD — Obrigações Legais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A Lei Geral de Proteção de Dados (Lei 13.709/2018) é obrigatória para toda empresa que coleta, armazena ou processa dados pessoais. A Basilisk atua em dois papéis: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Controlador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Nos próprios SaaS e site da Basilisk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Definir finalidade do tratamento, publicar política de privacidade, atender solicitações de titulares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Operador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Nos projetos de clientes (processando dados dos usuários deles)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Tratar dados conforme instruções do cliente, garantir segurança técnica, reportar incidentes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t xml:space="preserve">3.1 Checklist LGPD por Projeto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color w:val="333333"/>
          <w:sz w:val="22"/>
          <w:szCs w:val="22"/>
        </w:rPr>
        <w:t xml:space="preserve">Mapear quais dados pessoais o sistema coleta (nome, e-mail, CPF, etc.).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color w:val="333333"/>
          <w:sz w:val="22"/>
          <w:szCs w:val="22"/>
        </w:rPr>
        <w:t xml:space="preserve">Definir base legal para cada tratamento (consentimento, contrato, legítimo interesse).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color w:val="333333"/>
          <w:sz w:val="22"/>
          <w:szCs w:val="22"/>
        </w:rPr>
        <w:t xml:space="preserve">Implementar mecanismo de consentimento (checkbox, banner de cookies).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color w:val="333333"/>
          <w:sz w:val="22"/>
          <w:szCs w:val="22"/>
        </w:rPr>
        <w:t xml:space="preserve">Publicar Política de Privacidade acessível no site/app.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color w:val="333333"/>
          <w:sz w:val="22"/>
          <w:szCs w:val="22"/>
        </w:rPr>
        <w:t xml:space="preserve">Implementar funcionalidades de direitos do titular: acesso, correção, exclusão de dados.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color w:val="333333"/>
          <w:sz w:val="22"/>
          <w:szCs w:val="22"/>
        </w:rPr>
        <w:t xml:space="preserve">Garantir criptografia de dados sensíveis em trânsito (HTTPS) e em repouso.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color w:val="333333"/>
          <w:sz w:val="22"/>
          <w:szCs w:val="22"/>
        </w:rPr>
        <w:t xml:space="preserve">Definir política de retenção e exclusão de dados.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color w:val="333333"/>
          <w:sz w:val="22"/>
          <w:szCs w:val="22"/>
        </w:rPr>
        <w:t xml:space="preserve">Documentar um plano de resposta a incidentes de segurança.</w:t>
      </w:r>
    </w:p>
    <w:p>
      <w:pPr>
        <w:spacing w:after="80"/>
      </w:pPr>
    </w:p>
    <w:p>
      <w:pPr>
        <w:pStyle w:val="Heading1"/>
        <w:spacing w:before="360" w:after="200"/>
      </w:pPr>
      <w:r>
        <w:t xml:space="preserve">4. NDA — Estrutura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O NDA (Non-Disclosure Agreement / Acordo de Confidencialidade) protege informações sensíveis compartilhadas durante discovery e desenvolvimento.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4.1 Cláusulas do NDA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color w:val="333333"/>
          <w:sz w:val="22"/>
          <w:szCs w:val="22"/>
        </w:rPr>
        <w:t xml:space="preserve">Definição de informação confidencial (código, dados, processos, estratégias).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color w:val="333333"/>
          <w:sz w:val="22"/>
          <w:szCs w:val="22"/>
        </w:rPr>
        <w:t xml:space="preserve">Obrigações: não divulgar, não usar para propósitos não autorizados.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color w:val="333333"/>
          <w:sz w:val="22"/>
          <w:szCs w:val="22"/>
        </w:rPr>
        <w:t xml:space="preserve">Exceções: informações públicas, obtidas por terceiros, ou por ordem judicial.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color w:val="333333"/>
          <w:sz w:val="22"/>
          <w:szCs w:val="22"/>
        </w:rPr>
        <w:t xml:space="preserve">Duração: 2–5 anos após o término da relação.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color w:val="333333"/>
          <w:sz w:val="22"/>
          <w:szCs w:val="22"/>
        </w:rPr>
        <w:t xml:space="preserve">Penalidades: multa pré-fixada em caso de violação.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color w:val="333333"/>
          <w:sz w:val="22"/>
          <w:szCs w:val="22"/>
        </w:rPr>
        <w:t xml:space="preserve">Bilateral: protege ambas as partes.</w:t>
      </w:r>
    </w:p>
    <w:p>
      <w:pPr>
        <w:spacing w:after="80"/>
      </w:pPr>
    </w:p>
    <w:p>
      <w:pPr>
        <w:pStyle w:val="Heading1"/>
        <w:spacing w:before="360" w:after="200"/>
      </w:pPr>
      <w:r>
        <w:t xml:space="preserve">5. Termos de Serviço (SaaS) — Estrutura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Quando a Basilisk lançar produtos SaaS, precisa de Termos de Serviço (ToS) cobrindo:</w:t>
      </w:r>
    </w:p>
    <w:p>
      <w:pPr>
        <w:pStyle w:val="ListParagraph"/>
        <w:numPr>
          <w:ilvl w:val="0"/>
          <w:numId w:val="14"/>
        </w:numPr>
        <w:spacing w:after="60" w:line="276"/>
      </w:pPr>
      <w:r>
        <w:rPr>
          <w:color w:val="333333"/>
          <w:sz w:val="22"/>
          <w:szCs w:val="22"/>
        </w:rPr>
        <w:t xml:space="preserve">Descrição do serviço e funcionalidades incluídas.</w:t>
      </w:r>
    </w:p>
    <w:p>
      <w:pPr>
        <w:pStyle w:val="ListParagraph"/>
        <w:numPr>
          <w:ilvl w:val="0"/>
          <w:numId w:val="14"/>
        </w:numPr>
        <w:spacing w:after="60" w:line="276"/>
      </w:pPr>
      <w:r>
        <w:rPr>
          <w:color w:val="333333"/>
          <w:sz w:val="22"/>
          <w:szCs w:val="22"/>
        </w:rPr>
        <w:t xml:space="preserve">Planos e preços (incluindo política de alteração de preços).</w:t>
      </w:r>
    </w:p>
    <w:p>
      <w:pPr>
        <w:pStyle w:val="ListParagraph"/>
        <w:numPr>
          <w:ilvl w:val="0"/>
          <w:numId w:val="14"/>
        </w:numPr>
        <w:spacing w:after="60" w:line="276"/>
      </w:pPr>
      <w:r>
        <w:rPr>
          <w:color w:val="333333"/>
          <w:sz w:val="22"/>
          <w:szCs w:val="22"/>
        </w:rPr>
        <w:t xml:space="preserve">Regras de uso aceitável (o que o usuário pode e não pode fazer).</w:t>
      </w:r>
    </w:p>
    <w:p>
      <w:pPr>
        <w:pStyle w:val="ListParagraph"/>
        <w:numPr>
          <w:ilvl w:val="0"/>
          <w:numId w:val="14"/>
        </w:numPr>
        <w:spacing w:after="60" w:line="276"/>
      </w:pPr>
      <w:r>
        <w:rPr>
          <w:color w:val="333333"/>
          <w:sz w:val="22"/>
          <w:szCs w:val="22"/>
        </w:rPr>
        <w:t xml:space="preserve">SLA de disponibilidade (se oferecer).</w:t>
      </w:r>
    </w:p>
    <w:p>
      <w:pPr>
        <w:pStyle w:val="ListParagraph"/>
        <w:numPr>
          <w:ilvl w:val="0"/>
          <w:numId w:val="14"/>
        </w:numPr>
        <w:spacing w:after="60" w:line="276"/>
      </w:pPr>
      <w:r>
        <w:rPr>
          <w:color w:val="333333"/>
          <w:sz w:val="22"/>
          <w:szCs w:val="22"/>
        </w:rPr>
        <w:t xml:space="preserve">Propriedade dos dados do usuário (dados são do usuário, não da Basilisk).</w:t>
      </w:r>
    </w:p>
    <w:p>
      <w:pPr>
        <w:pStyle w:val="ListParagraph"/>
        <w:numPr>
          <w:ilvl w:val="0"/>
          <w:numId w:val="14"/>
        </w:numPr>
        <w:spacing w:after="60" w:line="276"/>
      </w:pPr>
      <w:r>
        <w:rPr>
          <w:color w:val="333333"/>
          <w:sz w:val="22"/>
          <w:szCs w:val="22"/>
        </w:rPr>
        <w:t xml:space="preserve">Política de cancelamento e reembolso.</w:t>
      </w:r>
    </w:p>
    <w:p>
      <w:pPr>
        <w:pStyle w:val="ListParagraph"/>
        <w:numPr>
          <w:ilvl w:val="0"/>
          <w:numId w:val="14"/>
        </w:numPr>
        <w:spacing w:after="60" w:line="276"/>
      </w:pPr>
      <w:r>
        <w:rPr>
          <w:color w:val="333333"/>
          <w:sz w:val="22"/>
          <w:szCs w:val="22"/>
        </w:rPr>
        <w:t xml:space="preserve">Limitação de responsabilidade.</w:t>
      </w:r>
    </w:p>
    <w:p>
      <w:pPr>
        <w:pStyle w:val="ListParagraph"/>
        <w:numPr>
          <w:ilvl w:val="0"/>
          <w:numId w:val="14"/>
        </w:numPr>
        <w:spacing w:after="60" w:line="276"/>
      </w:pPr>
      <w:r>
        <w:rPr>
          <w:color w:val="333333"/>
          <w:sz w:val="22"/>
          <w:szCs w:val="22"/>
        </w:rPr>
        <w:t xml:space="preserve">Alterações nos termos (notificação prévia de 30 dias).</w:t>
      </w:r>
    </w:p>
    <w:p>
      <w:pPr>
        <w:pStyle w:val="ListParagraph"/>
        <w:numPr>
          <w:ilvl w:val="0"/>
          <w:numId w:val="14"/>
        </w:numPr>
        <w:spacing w:after="60" w:line="276"/>
      </w:pPr>
      <w:r>
        <w:rPr>
          <w:color w:val="333333"/>
          <w:sz w:val="22"/>
          <w:szCs w:val="22"/>
        </w:rPr>
        <w:t xml:space="preserve">Legislação aplicável e foro.</w:t>
      </w:r>
    </w:p>
    <w:sectPr>
      <w:headerReference w:type="default" r:id="rId6"/>
      <w:footerReference w:type="default" r:id="rId7"/>
      <w:pgSz w:w="11906" w:h="16838" w:orient="portrait"/>
      <w:pgMar w:top="1440" w:right="1273" w:bottom="144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Confidencial — Basilisk Software House — 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B57" w:sz="2" w:space="4"/>
      </w:pBd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Basilisk Software House  |  Jurídico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7"/>
    <w:lvlOverride w:ilvl="0">
      <w:startOverride w:val="1"/>
    </w:lvlOverride>
  </w:num>
  <w:num w:numId="13">
    <w:abstractNumId w:val="12"/>
    <w:lvlOverride w:ilvl="0">
      <w:startOverride w:val="1"/>
    </w:lvlOverride>
  </w:num>
  <w:num w:numId="14">
    <w:abstractNumId w:val="1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B5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2026-03-29T04:39:33.726Z</dcterms:created>
  <dcterms:modified xsi:type="dcterms:W3CDTF">2026-03-29T04:39:33.726Z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