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860B3" w14:textId="77777777" w:rsidR="008D0767" w:rsidRDefault="008D0767"/>
    <w:p w14:paraId="18428AEC" w14:textId="77777777" w:rsidR="008D0767" w:rsidRPr="001623E1" w:rsidRDefault="00226115">
      <w:pPr>
        <w:spacing w:after="120"/>
        <w:jc w:val="center"/>
        <w:rPr>
          <w:sz w:val="32"/>
          <w:szCs w:val="32"/>
        </w:rPr>
      </w:pPr>
      <w:r>
        <w:rPr>
          <w:b/>
          <w:bCs/>
          <w:sz w:val="32"/>
          <w:szCs w:val="32"/>
        </w:rPr>
        <w:t>Electric Vehicle Market Growth and India’s Infrastructure Gap:</w:t>
      </w:r>
    </w:p>
    <w:p w14:paraId="74EC9B08" w14:textId="40641B64" w:rsidR="008D0767" w:rsidRDefault="00226115" w:rsidP="00020BB8">
      <w:pPr>
        <w:spacing w:after="120"/>
        <w:jc w:val="center"/>
      </w:pPr>
      <w:r>
        <w:rPr>
          <w:b/>
          <w:bCs/>
          <w:sz w:val="32"/>
          <w:szCs w:val="32"/>
        </w:rPr>
        <w:t>A Machine Learning Analysis</w:t>
      </w:r>
    </w:p>
    <w:p w14:paraId="340485C8" w14:textId="77777777" w:rsidR="008D0767" w:rsidRPr="001623E1" w:rsidRDefault="00226115">
      <w:pPr>
        <w:pStyle w:val="Heading1"/>
        <w:spacing w:before="240" w:after="120"/>
        <w:rPr>
          <w:sz w:val="28"/>
          <w:szCs w:val="28"/>
        </w:rPr>
      </w:pPr>
      <w:r>
        <w:rPr>
          <w:b/>
          <w:bCs/>
          <w:sz w:val="28"/>
          <w:szCs w:val="28"/>
        </w:rPr>
        <w:t>Abstract</w:t>
      </w:r>
    </w:p>
    <w:p w14:paraId="6B59A89A" w14:textId="49937FD4" w:rsidR="00D40726" w:rsidRDefault="00D40726" w:rsidP="00D40726">
      <w:pPr>
        <w:spacing w:after="120"/>
        <w:jc w:val="both"/>
      </w:pPr>
      <w:r>
        <w:t xml:space="preserve">The global electric vehicle market grew from near-zero sales in 2010 to over 14 million units annually by 2023, driven primarily by crude oil prices and public charging infrastructure availability. This study trains and compares four machine learning models on annual global sales data from 2010 to 2023 namely Polynomial Regression, Random Forest, K-Nearest Neighbours, and a tuned Gradient Boosting </w:t>
      </w:r>
      <w:r w:rsidR="00020BB8">
        <w:t>approach projecting</w:t>
      </w:r>
      <w:r>
        <w:t xml:space="preserve"> sales approaching 41 million units by 2030.  India is examined as a focal case. With electric vehicle penetration below three percent for passenger cars as of 2023, India sits roughly where China was before its infrastructure-led growth phase in the mid-2010s. The paper argues that public charging infrastructure is the binding constraint on adoption, not vehicle cost or consumer preference. India is examined not merely as a regional case but as a globally consequential market: decisions made here over the next f</w:t>
      </w:r>
      <w:r w:rsidR="00C36EFA">
        <w:t xml:space="preserve">ew </w:t>
      </w:r>
      <w:r>
        <w:t xml:space="preserve">years will shape battery supply chains, oil displacement volumes, and EV manufacturing economics at a scale that few other emerging economies can match.  Machine learning models incorporating causal drivers outperform standard time-series methods for this forecasting task and produce more actionable output for policy planning. </w:t>
      </w:r>
    </w:p>
    <w:p w14:paraId="462C83CE" w14:textId="522A8A79" w:rsidR="00D40726" w:rsidRPr="00D40726" w:rsidRDefault="00D40726" w:rsidP="00D40726">
      <w:pPr>
        <w:spacing w:after="120"/>
        <w:jc w:val="both"/>
      </w:pPr>
      <w:r>
        <w:rPr>
          <w:b/>
          <w:bCs/>
        </w:rPr>
        <w:t>Keywords:</w:t>
      </w:r>
      <w:r w:rsidR="00BD42D7">
        <w:rPr>
          <w:b/>
          <w:bCs/>
        </w:rPr>
        <w:t xml:space="preserve"> </w:t>
      </w:r>
      <w:r>
        <w:rPr>
          <w:i/>
          <w:iCs/>
        </w:rPr>
        <w:t>Charging Infrastructure, Machine Learning, XGBoost, Oil Price, India EV Policy, Energy Transition</w:t>
      </w:r>
    </w:p>
    <w:p w14:paraId="0E990016" w14:textId="77777777" w:rsidR="008D0767" w:rsidRPr="001623E1" w:rsidRDefault="00226115">
      <w:pPr>
        <w:pStyle w:val="Heading1"/>
        <w:spacing w:before="240" w:after="120"/>
        <w:rPr>
          <w:sz w:val="28"/>
          <w:szCs w:val="28"/>
        </w:rPr>
      </w:pPr>
      <w:r>
        <w:rPr>
          <w:b/>
          <w:bCs/>
          <w:sz w:val="28"/>
          <w:szCs w:val="28"/>
        </w:rPr>
        <w:t>1. Introduction</w:t>
      </w:r>
    </w:p>
    <w:p w14:paraId="1EA504A4" w14:textId="77777777" w:rsidR="008D0767" w:rsidRDefault="00226115">
      <w:pPr>
        <w:spacing w:after="120"/>
        <w:jc w:val="both"/>
      </w:pPr>
      <w:r>
        <w:t xml:space="preserve">The past decade has seen electric vehicles shift from a policy experiment to a mainstream product category. Understanding what drove that shift and what could sustain or accelerate it </w:t>
      </w:r>
      <w:r>
        <w:lastRenderedPageBreak/>
        <w:t>in countries still early in adoption is the central question this paper addresses.  Between 2020 and 2025, global electric vehicle car sales more than quintupled, rising from roughly 3 million units to over 20 million and reaching 25% of all new car sales worldwide (IEA, 2026). Two variables explain most of that growth: oil prices and charging infrastructure. When Brent crude stayed elevated between 2011 and 2014, EV adoption accelerated. When it crashed in 2016, growth slowed but did not reverse. Then the charging network crossed a critical density threshold, and the market developed its own momentum.</w:t>
      </w:r>
    </w:p>
    <w:p w14:paraId="3BAFC758" w14:textId="77777777" w:rsidR="008D0767" w:rsidRDefault="00226115">
      <w:pPr>
        <w:spacing w:after="120"/>
        <w:jc w:val="both"/>
      </w:pPr>
      <w:r>
        <w:t>From 2021 to 2025, global EV sales grew by roughly 3.5 million units per year — a consistency no other automotive segment has matched in two decades (IEA, 2026). By 2025, the global EV fleet displaced 1.7 million barrels of oil demand per day, a figure projected to triple by 2030 (IEA, 2026).</w:t>
      </w:r>
    </w:p>
    <w:p w14:paraId="617F448C" w14:textId="77777777" w:rsidR="008D0767" w:rsidRDefault="00226115">
      <w:pPr>
        <w:spacing w:after="120"/>
        <w:jc w:val="both"/>
      </w:pPr>
      <w:r>
        <w:t>China accounts for roughly 55% of global EV sales, a share built on a 2015 policy commitment backed by USD 100 billion in infrastructure spending; by 2025, 70% of battery electric cars sold there were price-competitive with conventional equivalents (IEA, 2026).</w:t>
      </w:r>
    </w:p>
    <w:p w14:paraId="6A7596EF" w14:textId="77777777" w:rsidR="008D0767" w:rsidRDefault="00226115">
      <w:pPr>
        <w:spacing w:after="120"/>
        <w:jc w:val="both"/>
      </w:pPr>
      <w:r>
        <w:t>India’s position is different, though not irreversibly so. As recently as 2023, EV penetration sat below 3% and public chargers numbered fewer than 12,000 against China's 1.8 million at the time. Yet by end-2025, India had 88,000 public charging points, electric car sales had jumped 75% year-on-year to 165,000 units, and the 2/3-wheeler segment crossed a 10% overall market share (IEA, 2026). Whether the underlying infrastructure and policy framework can sustain this pace of growth remains the central open question.</w:t>
      </w:r>
    </w:p>
    <w:p w14:paraId="3C2C3421" w14:textId="77777777" w:rsidR="008D0767" w:rsidRDefault="00226115">
      <w:pPr>
        <w:spacing w:after="120"/>
        <w:jc w:val="both"/>
      </w:pPr>
      <w:r>
        <w:t xml:space="preserve">The case for electric vehicle adoption in India rests on economic grounds as much as environmental ones. India spent more than USD 150 billion on crude oil imports in 2022–23, with roughly 85% of that crude imported. Every vehicle that converts from petrol to electric reduces that outflow. Oil import dependency of this scale creates macroeconomic vulnerability: a sustained crude price shock at the level seen in 2022 translates directly into current account </w:t>
      </w:r>
      <w:r>
        <w:lastRenderedPageBreak/>
        <w:t>pressure, inflationary pass-through, and constrained fiscal space for social spending. Reducing that exposure is therefore a core economic interest, not merely a climate goal (Narayanan et al., 2024; Kapoor &amp; Patel, 2023).</w:t>
      </w:r>
    </w:p>
    <w:p w14:paraId="06D89FA6" w14:textId="77777777" w:rsidR="008D0767" w:rsidRDefault="00226115">
      <w:pPr>
        <w:spacing w:after="120"/>
        <w:jc w:val="both"/>
      </w:pPr>
      <w:r>
        <w:t>The speed of the transition in other markets adds weight to this question. Countries that fail to build EV infrastructure during the current investment window risk locking in petrol-dependent transport systems for another two to three decades both through fleet longevity and through the disincentive effects of stranded charging assets on future private investment. India's PM E-DRIVE scheme and the FAME II programme represent meaningful commitments, but FAME II concluded in March 2024 with 69% of allocated funds utilised and EVs at just 7% of vehicle sales well below the 30% target for 2030 (Ministry of Heavy Industries, 2024). The policy ambition is in place; the execution gap is the problem this study is designed to inform.</w:t>
      </w:r>
    </w:p>
    <w:p w14:paraId="3F71459F" w14:textId="77777777" w:rsidR="008D0767" w:rsidRDefault="00226115">
      <w:pPr>
        <w:spacing w:after="120"/>
        <w:jc w:val="both"/>
      </w:pPr>
      <w:r>
        <w:t>This study addresses that question in three ways. First, it tests whether multi-feature machine learning models specifically a tuned XGBoost model trained on oil price and charging infrastructure data outperform ARIMA not just in fit, but in usefulness for policy analysis. Second, it generates two forecast scenarios for global electric vehicle sales through 2030, each tied to assumptions about the two variables that actually drive demand. Third, it places India's current infrastructure position alongside China's position at a comparable point in its own transition, using a framework that informs investment decisions rather than merely describing past trends.</w:t>
      </w:r>
    </w:p>
    <w:p w14:paraId="5A000001" w14:textId="77777777" w:rsidR="008D0767" w:rsidRDefault="00226115">
      <w:pPr>
        <w:spacing w:after="120"/>
        <w:jc w:val="both"/>
      </w:pPr>
      <w:r>
        <w:t xml:space="preserve">Why does an India-focused study matter to a global audience? India is not a peripheral case for the EV transition — it is one of its central tests. With 1.4 billion people, the third largest automobile market in the world, and an oil import bill exceeding USD 150 billion annually, India's trajectory will directly affect global oil demand, battery raw material sourcing, and the economics of EV manufacturing at a scale that most other emerging markets cannot. The global EV supply chain — from lithium and cobalt to cell assembly and drivetrain manufacturing — </w:t>
      </w:r>
      <w:r>
        <w:lastRenderedPageBreak/>
        <w:t>will be priced and structured partly on assumptions about whether India transitions rapidly or slowly. International investors, OEMs, and policymakers making decisions about where to allocate the next wave of EV infrastructure and manufacturing capital need evidence-based answers about India's adoption trajectory, not aspirational targets. This paper provides that evidence.</w:t>
      </w:r>
    </w:p>
    <w:p w14:paraId="551E9EF1" w14:textId="0B6E04F8" w:rsidR="001623E1" w:rsidRDefault="006A200A" w:rsidP="00BE6325">
      <w:pPr>
        <w:spacing w:before="120" w:after="160"/>
        <w:jc w:val="both"/>
      </w:pPr>
      <w:r w:rsidRPr="00662694">
        <w:rPr>
          <w:b/>
          <w:bCs/>
        </w:rPr>
        <w:t xml:space="preserve">Why this is a strategic question, not only a technical one: </w:t>
      </w:r>
      <w:r w:rsidRPr="00662694">
        <w:t xml:space="preserve">The forecasting exercise in this paper is not an end in itself. A government deciding how to phase a charging-infrastructure budget, an automaker deciding whether to commission a new production line, a </w:t>
      </w:r>
      <w:r w:rsidR="00662694" w:rsidRPr="00662694">
        <w:t>financial institution pricing EV loan portfolio</w:t>
      </w:r>
      <w:r w:rsidRPr="00662694">
        <w:t>, and a household deciding whether its next vehicle should be electric are all, in effect, asking the same question this study answers: is the binding constraint cost, preference, or infrastructure? Establishing that the answer is infrastructure changes not just where each of those actors should put their money next — it changes how they evaluate risk, sequence investment, and measure progress. Infrastructure is the variable that organisations can actually track and act on. This study turns that insight into a planning tool.</w:t>
      </w:r>
    </w:p>
    <w:p w14:paraId="12C46F13" w14:textId="77777777" w:rsidR="008D0767" w:rsidRPr="001623E1" w:rsidRDefault="00226115">
      <w:pPr>
        <w:pStyle w:val="Heading2"/>
        <w:spacing w:before="200" w:after="100"/>
        <w:rPr>
          <w:sz w:val="28"/>
          <w:szCs w:val="28"/>
        </w:rPr>
      </w:pPr>
      <w:r>
        <w:rPr>
          <w:b/>
          <w:bCs/>
          <w:sz w:val="28"/>
          <w:szCs w:val="28"/>
        </w:rPr>
        <w:t>1.1 Why India? Justification of Geographic Focus</w:t>
      </w:r>
    </w:p>
    <w:p w14:paraId="14E5F87B" w14:textId="77777777" w:rsidR="008D0767" w:rsidRDefault="00226115">
      <w:pPr>
        <w:spacing w:after="120"/>
        <w:jc w:val="both"/>
      </w:pPr>
      <w:r>
        <w:t>The decision to focus on India, rather than other emerging markets such as Vietnam, Indonesia, Brazil, or South Africa, is not simply a matter of geographic preference. The choice is analytically justified, and it matters to international readers precisely because of what happens to global EV economics when India moves. Four conditions set India apart.</w:t>
      </w:r>
    </w:p>
    <w:p w14:paraId="557A5296" w14:textId="77777777" w:rsidR="008D0767" w:rsidRDefault="00226115">
      <w:pPr>
        <w:spacing w:after="120"/>
        <w:jc w:val="both"/>
      </w:pPr>
      <w:r>
        <w:t>First, scale. India is the third largest automobile market in the world by volume and is on track to become the second largest by 2030. The decisions India makes about EV infrastructure and incentives in the next five years will affect more potential buyers than equivalent decisions made almost anywhere else. Small shifts in India's adoption curve translate into large absolute changes in global EV demand, oil displacement, and battery supply chain economics.</w:t>
      </w:r>
    </w:p>
    <w:p w14:paraId="50BF1E68" w14:textId="77777777" w:rsidR="008D0767" w:rsidRDefault="00226115">
      <w:pPr>
        <w:spacing w:after="120"/>
        <w:jc w:val="both"/>
      </w:pPr>
      <w:r>
        <w:lastRenderedPageBreak/>
        <w:t>Second, structural comparability to China at an inflection point. India's current EV penetration rate (below 3% for passenger cars as of 2023) is approximately where China was in 2015, when Beijing made the infrastructure investment decision that drove the following decade of growth. That comparability is rare: most large emerging markets are either further behind India (making the comparison less useful) or so structurally different in terms of industrial policy capacity, urbanisation rate, or domestic manufacturing base that the analogy breaks down quickly. The China-India comparison is imperfect, but it is the closest like-for-like comparison available at this scale, and Section 5.5 is explicit about where the parallel holds and where it does not.</w:t>
      </w:r>
    </w:p>
    <w:p w14:paraId="4EFE546C" w14:textId="77777777" w:rsidR="008D0767" w:rsidRDefault="00226115">
      <w:pPr>
        <w:spacing w:after="120"/>
        <w:jc w:val="both"/>
      </w:pPr>
      <w:r>
        <w:t>Third, data availability. India has a relatively well-documented EV policy record—FAME I (2015), FAME II (2019–2024), PM E-DRIVE (2024 onwards) and a series of government and IEA reports that make state-level and segment-level analysis possible. Many other large emerging markets lack the administrative data granularity needed to benchmark infrastructure deployment or test policy elasticity claims.</w:t>
      </w:r>
    </w:p>
    <w:p w14:paraId="0DF98882" w14:textId="77777777" w:rsidR="008D0767" w:rsidRDefault="00226115">
      <w:pPr>
        <w:spacing w:after="120"/>
        <w:jc w:val="both"/>
      </w:pPr>
      <w:r>
        <w:t>Fourth, fiscal exposure. India's oil import bill (over USD 150 billion in 2022–23) represents a structural vulnerability that is larger in absolute terms than comparable economies at this income level. That exposure creates a direct, quantifiable national interest in EV adoption that goes beyond climate commitments. It is a balance of payments argument. No other emerging market combines India's market scale, oil import exposure, and documented policy trajectory in a way that makes the research question this tractable (Kapoor &amp; Patel, 2023; Narayanan et al., 2024; IEA, 2026).</w:t>
      </w:r>
    </w:p>
    <w:p w14:paraId="38F68B77" w14:textId="77777777" w:rsidR="00363566" w:rsidRPr="00851A06" w:rsidRDefault="006A200A">
      <w:pPr>
        <w:spacing w:before="120" w:after="160"/>
        <w:jc w:val="both"/>
      </w:pPr>
      <w:r w:rsidRPr="00851A06">
        <w:rPr>
          <w:b/>
          <w:bCs/>
        </w:rPr>
        <w:t xml:space="preserve">What this means for market entrants: </w:t>
      </w:r>
      <w:r w:rsidRPr="00851A06">
        <w:t xml:space="preserve">For OEMs, battery manufacturers, and infrastructure investors deciding where to commit capital among emerging markets, these four conditions add up to one practical conclusion: India offers the largest addressable market, the clearest historical precedent for how the transition unfolds, and the best available data to plan against. </w:t>
      </w:r>
      <w:r w:rsidRPr="00851A06">
        <w:lastRenderedPageBreak/>
        <w:t>Markets that lack one or more of these conditions are harder to size, harder to time, and harder to benchmark — which is itself a form of investment risk.</w:t>
      </w:r>
    </w:p>
    <w:p w14:paraId="65511C76" w14:textId="77777777" w:rsidR="008D0767" w:rsidRPr="001623E1" w:rsidRDefault="00226115">
      <w:pPr>
        <w:pStyle w:val="Heading2"/>
        <w:spacing w:before="200" w:after="100"/>
        <w:rPr>
          <w:sz w:val="28"/>
          <w:szCs w:val="28"/>
        </w:rPr>
      </w:pPr>
      <w:r>
        <w:rPr>
          <w:b/>
          <w:bCs/>
          <w:sz w:val="28"/>
          <w:szCs w:val="28"/>
        </w:rPr>
        <w:t>1.2 Research Gaps</w:t>
      </w:r>
    </w:p>
    <w:p w14:paraId="73BDB89A" w14:textId="1829FF14" w:rsidR="008D0767" w:rsidRDefault="00226115">
      <w:pPr>
        <w:spacing w:after="120"/>
        <w:jc w:val="both"/>
      </w:pPr>
      <w:r>
        <w:t>Three gaps in the</w:t>
      </w:r>
      <w:r w:rsidR="006E6E09">
        <w:t xml:space="preserve"> </w:t>
      </w:r>
      <w:r>
        <w:t>literature motivate this study, each corresponding directly to one of the research objectives set out in Section 1.4 and Section 4.</w:t>
      </w:r>
    </w:p>
    <w:p w14:paraId="505FCEB3" w14:textId="77777777" w:rsidR="008D0767" w:rsidRDefault="00226115">
      <w:pPr>
        <w:spacing w:after="120"/>
        <w:jc w:val="both"/>
      </w:pPr>
      <w:r>
        <w:t>First, most EV demand forecasts — including the IEA's — use ARIMA or similar methods that extrapolate historical trends without encoding the variables that actually drive them. A model that cannot accept an oil price shock or charger deployment target as an input is of limited planning use. This motivates the first objective: training feature-aware ML models with oil price and charging infrastructure as explicit inputs.</w:t>
      </w:r>
    </w:p>
    <w:p w14:paraId="06899275" w14:textId="77777777" w:rsidR="008D0767" w:rsidRDefault="00226115">
      <w:pPr>
        <w:spacing w:after="120"/>
        <w:jc w:val="both"/>
      </w:pPr>
      <w:r>
        <w:t>Second, ARIMA-IEA STEPS convergence is often cited as independent corroboration, but both share the same extrapolation logic — understating genuine forecast uncertainty. This motivates the second objective: two distinct scenario-based projections with explicit assumptions.</w:t>
      </w:r>
    </w:p>
    <w:p w14:paraId="66C4356B" w14:textId="77777777" w:rsidR="008D0767" w:rsidRDefault="00226115">
      <w:pPr>
        <w:spacing w:after="120"/>
        <w:jc w:val="both"/>
      </w:pPr>
      <w:r>
        <w:t>Third, no published study has benchmarked India's infrastructure position against China's at a comparable development stage using a feature-aware ML framework. This motivates the third objective: quantifying India's infrastructure deficit against the China baseline and deriving a policy roadmap.</w:t>
      </w:r>
    </w:p>
    <w:p w14:paraId="10423C71" w14:textId="77777777" w:rsidR="00363566" w:rsidRPr="00C323A4" w:rsidRDefault="006A200A">
      <w:pPr>
        <w:spacing w:before="120" w:after="160"/>
        <w:jc w:val="both"/>
      </w:pPr>
      <w:r w:rsidRPr="00C323A4">
        <w:rPr>
          <w:b/>
          <w:bCs/>
        </w:rPr>
        <w:t xml:space="preserve">The stakes of these gaps: </w:t>
      </w:r>
      <w:r w:rsidRPr="00C323A4">
        <w:t xml:space="preserve">Each gap carries a direct cost. A forecasting method that cannot take a policy scenario as an input cannot tell an investment committee what happens if a subsidy is withdrawn or an oil shock hits, leaving capital allocated against a single, unstressed number. Treating ARIMA–IEA convergence as independent confirmation can create false confidence in one trajectory when the true range of outcomes is far wider. And without a China–India benchmark, there is no evidence-based answer to how much infrastructure spending is enough, </w:t>
      </w:r>
      <w:r w:rsidRPr="00C323A4">
        <w:lastRenderedPageBreak/>
        <w:t>only aspiration. Closing these three gaps is what turns this study from a forecasting exercise into a decision-support tool.</w:t>
      </w:r>
    </w:p>
    <w:p w14:paraId="5815641C" w14:textId="77777777" w:rsidR="008D0767" w:rsidRPr="001623E1" w:rsidRDefault="00226115">
      <w:pPr>
        <w:pStyle w:val="Heading2"/>
        <w:spacing w:before="200" w:after="100"/>
        <w:rPr>
          <w:sz w:val="28"/>
          <w:szCs w:val="28"/>
        </w:rPr>
      </w:pPr>
      <w:r>
        <w:rPr>
          <w:b/>
          <w:bCs/>
          <w:sz w:val="28"/>
          <w:szCs w:val="28"/>
        </w:rPr>
        <w:t>1.3 Methodology Overview</w:t>
      </w:r>
    </w:p>
    <w:p w14:paraId="6FC7500D" w14:textId="124534D6" w:rsidR="001623E1" w:rsidRDefault="00226115">
      <w:pPr>
        <w:spacing w:after="120"/>
        <w:jc w:val="both"/>
      </w:pPr>
      <w:r>
        <w:t>Four models are trained on annual global EV sales data from 2010 to 2023 — the period spans the full observable market growth cycle, with data outside these bounds either too sparse or already projected. Input features are year, the natural log of total public charging points, and annual average Brent crude oil price. Models tested: Polynomial Regression, Hypertuned XGBoost, Random Forest, and K-Nearest Neighbours. Performance is evaluated using R² and MAPE. All inputs are deliberately limited to data a government agency or corporate planning team could obtain and refresh on a recurring basis.</w:t>
      </w:r>
    </w:p>
    <w:p w14:paraId="4C56EB9F" w14:textId="77777777" w:rsidR="008D0767" w:rsidRPr="001623E1" w:rsidRDefault="00226115">
      <w:pPr>
        <w:pStyle w:val="Heading2"/>
        <w:spacing w:before="200" w:after="100"/>
        <w:rPr>
          <w:sz w:val="28"/>
          <w:szCs w:val="28"/>
        </w:rPr>
      </w:pPr>
      <w:r>
        <w:rPr>
          <w:b/>
          <w:bCs/>
          <w:sz w:val="28"/>
          <w:szCs w:val="28"/>
        </w:rPr>
        <w:t>1.4 Contributions</w:t>
      </w:r>
    </w:p>
    <w:p w14:paraId="3D9A17FE" w14:textId="45AFD128" w:rsidR="008D0767" w:rsidRDefault="00226115">
      <w:pPr>
        <w:spacing w:after="120"/>
        <w:jc w:val="both"/>
      </w:pPr>
      <w:r>
        <w:t>Th</w:t>
      </w:r>
      <w:r w:rsidR="00172217">
        <w:t>e</w:t>
      </w:r>
      <w:r>
        <w:t xml:space="preserve"> study's contributions span three groups: academic researchers, industry practitioners, and policymakers.</w:t>
      </w:r>
    </w:p>
    <w:p w14:paraId="5B972DF5" w14:textId="77777777" w:rsidR="008D0767" w:rsidRDefault="00226115">
      <w:pPr>
        <w:spacing w:after="120"/>
        <w:jc w:val="both"/>
      </w:pPr>
      <w:r>
        <w:t>For academicians and researchers, this study demonstrates that multi-feature machine learning models are meaningfully better than standard time-series methods such as Autoregressive Integrated Moving Average not just in accuracy on training data but in the credibility of forward projections, adding to a body of work showing that feature-rich gradient boosting frameworks outperform univariate extrapolation for transport demand forecasting. The India-China benchmarking methodology introduced here is also replicable for any researcher assessing an emerging market transition against a known historical trajectory.</w:t>
      </w:r>
    </w:p>
    <w:p w14:paraId="51CB032B" w14:textId="77777777" w:rsidR="008D0767" w:rsidRDefault="00226115">
      <w:pPr>
        <w:spacing w:after="120"/>
        <w:jc w:val="both"/>
      </w:pPr>
      <w:r>
        <w:t>For industry practitioners, the study delivers two scenario-based global EV sales forecasts for 2024–2030, each tied to explicit oil price and charger deployment assumptions, giving organisations a planning range rather than a single trend extrapolation.</w:t>
      </w:r>
    </w:p>
    <w:p w14:paraId="7445696D" w14:textId="77777777" w:rsidR="008D0767" w:rsidRDefault="00226115">
      <w:pPr>
        <w:spacing w:after="120"/>
        <w:jc w:val="both"/>
      </w:pPr>
      <w:r>
        <w:lastRenderedPageBreak/>
        <w:t>For society and policymakers, this study provides a concrete, data-grounded policy roadmap for India with specific infrastructure targets and implementation timelines drawn from the analysis. The findings quantify the infrastructure gap India must close to follow China's successful transition trajectory, and the policy recommendations in Section 10 are sequenced to reflect fiscal and implementation realities rather than aspirational targets alone.</w:t>
      </w:r>
    </w:p>
    <w:p w14:paraId="25EA6E83" w14:textId="77777777" w:rsidR="008D0767" w:rsidRPr="00174A77" w:rsidRDefault="00226115">
      <w:pPr>
        <w:pStyle w:val="Heading1"/>
        <w:spacing w:before="240" w:after="120"/>
        <w:rPr>
          <w:sz w:val="28"/>
          <w:szCs w:val="28"/>
        </w:rPr>
      </w:pPr>
      <w:r>
        <w:rPr>
          <w:b/>
          <w:bCs/>
          <w:sz w:val="28"/>
          <w:szCs w:val="28"/>
        </w:rPr>
        <w:t>2. Literature Review</w:t>
      </w:r>
    </w:p>
    <w:p w14:paraId="2D9E716E" w14:textId="77777777" w:rsidR="008D0767" w:rsidRDefault="00226115">
      <w:pPr>
        <w:spacing w:after="120"/>
        <w:jc w:val="both"/>
      </w:pPr>
      <w:r>
        <w:t>Research on electric vehicle adoption draws on transport economics, energy policy, and consumer behaviour. The literature can be organised into four thematic clusters: (a) infrastructure and adoption drivers, (b) oil price sensitivity and demand elasticity, (c) forecasting methods and their limitations, and (d) India-specific studies.</w:t>
      </w:r>
    </w:p>
    <w:p w14:paraId="32725AA2" w14:textId="77777777" w:rsidR="008D0767" w:rsidRDefault="00226115">
      <w:pPr>
        <w:pStyle w:val="Heading2"/>
        <w:spacing w:before="200" w:after="100"/>
      </w:pPr>
      <w:r>
        <w:rPr>
          <w:b/>
          <w:bCs/>
          <w:sz w:val="24"/>
          <w:szCs w:val="24"/>
        </w:rPr>
        <w:t>2.1 Infrastructure and Adoption Drivers</w:t>
      </w:r>
    </w:p>
    <w:p w14:paraId="680BD23D" w14:textId="77777777" w:rsidR="008D0767" w:rsidRDefault="00226115">
      <w:pPr>
        <w:spacing w:after="120"/>
        <w:jc w:val="both"/>
      </w:pPr>
      <w:r>
        <w:t>Sierzchula et al. (2014) examined 30 countries and found financial incentives and charging infrastructure to be the two strongest predictors of EV adoption, ahead of GDP, fuel prices, and urbanisation. Egbue and Long (2012) identified range anxiety and charging access as the primary consumer hesitations in the US, a finding echoed in later European and Asian surveys.</w:t>
      </w:r>
    </w:p>
    <w:p w14:paraId="288D62C0" w14:textId="77777777" w:rsidR="008D0767" w:rsidRDefault="00226115">
      <w:pPr>
        <w:spacing w:after="120"/>
        <w:jc w:val="both"/>
      </w:pPr>
      <w:r>
        <w:t>Gnann et al. (2018) found the charger density-to-sales relationship follows an S-curve: once density crosses a critical threshold, consumer hesitation falls non-linearly. India remains on the steep lower portion of that curve.</w:t>
      </w:r>
    </w:p>
    <w:p w14:paraId="53122B80" w14:textId="77777777" w:rsidR="008D0767" w:rsidRDefault="00226115">
      <w:pPr>
        <w:spacing w:after="120"/>
        <w:jc w:val="both"/>
      </w:pPr>
      <w:r>
        <w:t>Kumar and Bhattacharyya (2021) found that even a modest fast-charging network in Southeast Asian cities produced disproportionately large EV purchasing intent gains. Bai et al. (2022) found a 10% increase in Chinese province-level charger density associated with a 6.3% rise in registrations. The IEA (2026) confirms this in practice: Southeast Asian EV sales more than doubled in 2025, coinciding with rapid charger deployment.</w:t>
      </w:r>
    </w:p>
    <w:p w14:paraId="7B1BBFD6" w14:textId="77777777" w:rsidR="008D0767" w:rsidRDefault="00226115">
      <w:pPr>
        <w:spacing w:after="120"/>
        <w:jc w:val="both"/>
      </w:pPr>
      <w:r>
        <w:lastRenderedPageBreak/>
        <w:t>For India specifically, Sharma et al. (2023) surveyed 1,200 potential buyers across eight cities and found charging infrastructure availability to be the single strongest predictor of purchase intention ahead of vehicle price, range, and government subsidy. India's own charging infrastructure grew 15% in 2025 to 88,000 points under the PM E-DRIVE scheme, and electric car sales followed with a 75% year-on-year increase (IEA, 2026).</w:t>
      </w:r>
    </w:p>
    <w:p w14:paraId="729B7BFC" w14:textId="77777777" w:rsidR="00363566" w:rsidRPr="00626AF5" w:rsidRDefault="006A200A">
      <w:pPr>
        <w:spacing w:before="120" w:after="160"/>
        <w:jc w:val="both"/>
      </w:pPr>
      <w:r w:rsidRPr="00626AF5">
        <w:rPr>
          <w:b/>
          <w:bCs/>
        </w:rPr>
        <w:t xml:space="preserve">Investment implication: </w:t>
      </w:r>
      <w:r w:rsidRPr="00626AF5">
        <w:t>The S-curve relationship documented across these studies means charging infrastructure behaves as a threshold investment rather than a linear cost. Below the density threshold, additional chargers buy little adoption; above it, the same spending buys disproportionately more. For a government or utility sequencing a limited infrastructure budget, this argues for concentrating early spending on reaching that threshold in each target geography rather than spreading it evenly and never reaching the inflection point anywhere.</w:t>
      </w:r>
    </w:p>
    <w:p w14:paraId="51F06D81" w14:textId="77777777" w:rsidR="008D0767" w:rsidRDefault="00226115">
      <w:pPr>
        <w:pStyle w:val="Heading2"/>
        <w:spacing w:before="200" w:after="100"/>
      </w:pPr>
      <w:r>
        <w:rPr>
          <w:b/>
          <w:bCs/>
          <w:sz w:val="24"/>
          <w:szCs w:val="24"/>
        </w:rPr>
        <w:t>2.2 Oil Price Sensitivity and Demand Elasticity</w:t>
      </w:r>
    </w:p>
    <w:p w14:paraId="0FA5CA8E" w14:textId="77777777" w:rsidR="008D0767" w:rsidRDefault="00226115">
      <w:pPr>
        <w:spacing w:after="120"/>
        <w:jc w:val="both"/>
      </w:pPr>
      <w:r>
        <w:t>Gallagher and Muehlegger (2011) established that high fuel costs pushed US consumers toward hybrids and early EVs in ways that subsidies alone could not replicate, and that the effect was particularly strong when prices spiked suddenly rather than rising gradually. Helveston et al. (2015) found similar price sensitivity in China, where the effect was amplified by strong manufacturing subsidies on the supply side.</w:t>
      </w:r>
    </w:p>
    <w:p w14:paraId="66585125" w14:textId="77777777" w:rsidR="008D0767" w:rsidRDefault="00226115">
      <w:pPr>
        <w:spacing w:after="120"/>
        <w:jc w:val="both"/>
      </w:pPr>
      <w:r>
        <w:t>Biernat-Jarka et al. (2021) found EV sales in the 2021–2022 energy crisis accelerated faster than policy models predicted. Li et al. (2023), using a panel of 27 EU member states, found price elasticity for EV adoption to be roughly twice the magnitude assumed in most transition models, with the effect strongest among fleet buyers.</w:t>
      </w:r>
    </w:p>
    <w:p w14:paraId="652DF50C" w14:textId="77777777" w:rsidR="008D0767" w:rsidRDefault="00226115">
      <w:pPr>
        <w:spacing w:after="120"/>
        <w:jc w:val="both"/>
      </w:pPr>
      <w:r>
        <w:t>The IEA (2026) confirms this in real time: amid the 2025–2026 energy crisis, Europe saw a 30% EV sales increase and India a 65% rise in Q1 2026. The oil price effect is large enough to treat as a primary driver, not a secondary one.</w:t>
      </w:r>
    </w:p>
    <w:p w14:paraId="2F1EA9D2" w14:textId="77777777" w:rsidR="00363566" w:rsidRPr="004E5169" w:rsidRDefault="006A200A">
      <w:pPr>
        <w:spacing w:before="120" w:after="160"/>
        <w:jc w:val="both"/>
      </w:pPr>
      <w:r w:rsidRPr="004E5169">
        <w:rPr>
          <w:b/>
          <w:bCs/>
        </w:rPr>
        <w:lastRenderedPageBreak/>
        <w:t xml:space="preserve">Why this matters for fleets and finance ministries: </w:t>
      </w:r>
      <w:r w:rsidRPr="004E5169">
        <w:t>If EV demand is genuinely this sensitive to oil prices, the total-cost-of-ownership case for electrification strengthens automatically during every energy-price spike, without any new subsidy being spent. Corporate fleet operators and finance ministries modelling exposure to oil-price volatility can treat vehicle electrification as a partial hedge against that exposure, not only as an environmental commitment.</w:t>
      </w:r>
    </w:p>
    <w:p w14:paraId="4665BCAC" w14:textId="77777777" w:rsidR="008D0767" w:rsidRDefault="00226115">
      <w:pPr>
        <w:pStyle w:val="Heading2"/>
        <w:spacing w:before="200" w:after="100"/>
      </w:pPr>
      <w:r>
        <w:rPr>
          <w:b/>
          <w:bCs/>
          <w:sz w:val="24"/>
          <w:szCs w:val="24"/>
        </w:rPr>
        <w:t>2.3 Forecasting Methods: ARIMA and Its Limitations</w:t>
      </w:r>
    </w:p>
    <w:p w14:paraId="4803F517" w14:textId="77777777" w:rsidR="008D0767" w:rsidRDefault="00226115">
      <w:pPr>
        <w:spacing w:after="120"/>
        <w:jc w:val="both"/>
      </w:pPr>
      <w:r>
        <w:t>ARIMA has been the standard for transport demand modelling for two decades. Shaikh et al. (2020) found gradient boosting consistently outperforms it when feature-rich data is available. Liu et al. (2022) confirmed XGBoost handles structural breaks — including the 2020 COVID collapse — far better than ARIMA, because it can accept oil price and infrastructure as explicit inputs rather than treating them as noise.</w:t>
      </w:r>
    </w:p>
    <w:p w14:paraId="5ADE4EB1" w14:textId="77777777" w:rsidR="008D0767" w:rsidRDefault="00226115">
      <w:pPr>
        <w:spacing w:after="120"/>
        <w:jc w:val="both"/>
      </w:pPr>
      <w:r>
        <w:t>Hao et al. (2021) found ensemble methods outperformed ARIMA for Chinese EV forecasting, particularly around structural breaks. Zhang et al. (2023) confirmed that feature selection — specifically including infrastructure variables — matters more than model architecture. Wang et al. (2024) found pure XGBoost with well-chosen features outperforms ARIMA-XGBoost hybrids at five-year-plus horizons, the horizon relevant to policy planning.</w:t>
      </w:r>
    </w:p>
    <w:p w14:paraId="1D7DC640" w14:textId="77777777" w:rsidR="00363566" w:rsidRPr="00630F14" w:rsidRDefault="006A200A">
      <w:pPr>
        <w:spacing w:before="120" w:after="160"/>
        <w:jc w:val="both"/>
      </w:pPr>
      <w:r w:rsidRPr="00630F14">
        <w:rPr>
          <w:b/>
          <w:bCs/>
        </w:rPr>
        <w:t xml:space="preserve">A caution for anyone using published EV forecasts: </w:t>
      </w:r>
      <w:r w:rsidRPr="00630F14">
        <w:t>Organisations that plan capacity, financing, or supply agreements against ARIMA-based or similarly trend-extrapolated forecasts — including several official ones — are, by construction, planning against a number that cannot move if oil prices or infrastructure funding change. That is a material planning risk for any decision with a multi-year horizon, and it is the reason this study evaluates gradient-boosting alternatives explicitly.</w:t>
      </w:r>
    </w:p>
    <w:p w14:paraId="7D2B58F1" w14:textId="77777777" w:rsidR="008D0767" w:rsidRDefault="00226115">
      <w:pPr>
        <w:pStyle w:val="Heading2"/>
        <w:spacing w:before="200" w:after="100"/>
      </w:pPr>
      <w:r>
        <w:rPr>
          <w:b/>
          <w:bCs/>
          <w:sz w:val="24"/>
          <w:szCs w:val="24"/>
        </w:rPr>
        <w:t>2.4 India-Specific Research</w:t>
      </w:r>
    </w:p>
    <w:p w14:paraId="030011A3" w14:textId="77777777" w:rsidR="008D0767" w:rsidRDefault="00226115">
      <w:pPr>
        <w:spacing w:after="120"/>
        <w:jc w:val="both"/>
      </w:pPr>
      <w:r>
        <w:lastRenderedPageBreak/>
        <w:t>India-focused EV research remains thin relative to the scale of the problem. Luthra et al. (2020) identified charging access, battery cost, and consumer awareness as the three main barriers. Tanksale and Jain (2022) projected 2W EV penetration of 20–25% by 2025 under FAME II; the actual figure was 6% (IEA, 2026), suggesting overly optimistic investment assumptions or underestimated demand-side frictions.</w:t>
      </w:r>
    </w:p>
    <w:p w14:paraId="34B145E6" w14:textId="77777777" w:rsidR="008D0767" w:rsidRDefault="00226115">
      <w:pPr>
        <w:spacing w:after="120"/>
        <w:jc w:val="both"/>
      </w:pPr>
      <w:r>
        <w:t>Kapoor and Patel (2023) found Maharashtra and Delhi dominate charger deployment while Bihar and Odisha remain almost entirely without infrastructure. Narayanan et al. (2024) found that successive cuts to the PM E-DRIVE per-vehicle subsidy — from USD 170/kWh down to USD 30/kWh — significantly reduced demand stimulus. Sharma et al. (2023) and Singh and Verma (2024) identify consumer financing and total-cost-of-ownership parity as the two most tractable near-term levers, with parity already reached for 2-wheelers and 3-wheelers but not passenger cars.</w:t>
      </w:r>
    </w:p>
    <w:p w14:paraId="0FD35E6E" w14:textId="77777777" w:rsidR="00C53B94" w:rsidRDefault="00226115" w:rsidP="00174A77">
      <w:pPr>
        <w:spacing w:after="120"/>
        <w:jc w:val="both"/>
      </w:pPr>
      <w:r>
        <w:t>Critically, no published study has directly compared India's current infrastructure position to China's position at an equivalent stage of EV market development using a feature-aware ML framework. That comparison is analytically valuable because it allows policymakers to assess whether India's trajectory is on a course that China successfully navigated, or whether it is diverging in ways that require different interventions. This study fills that gap.</w:t>
      </w:r>
    </w:p>
    <w:p w14:paraId="3ADA4C39" w14:textId="77777777" w:rsidR="00363566" w:rsidRPr="00630F14" w:rsidRDefault="006A200A">
      <w:pPr>
        <w:spacing w:before="120" w:after="160"/>
        <w:jc w:val="both"/>
      </w:pPr>
      <w:r w:rsidRPr="00630F14">
        <w:rPr>
          <w:b/>
          <w:bCs/>
        </w:rPr>
        <w:t xml:space="preserve">Why a single national strategy will not work: </w:t>
      </w:r>
      <w:r w:rsidRPr="00630F14">
        <w:t>If Maharashtra and Delhi already account for a disproportionate share of India’s chargers and registrations while Bihar and Odisha remain largely without infrastructure, a company or ministry planning market entry, subsidy allocation, or a charging rollout on the basis of national averages alone will misallocate resources — overbuilding in already-serviced states and underestimating the effort required elsewhere.</w:t>
      </w:r>
    </w:p>
    <w:p w14:paraId="63AAEB44" w14:textId="77777777" w:rsidR="00C53B94" w:rsidRDefault="00C53B94"/>
    <w:p w14:paraId="2F107143" w14:textId="3510DE1A" w:rsidR="008D0767" w:rsidRPr="00174A77" w:rsidRDefault="00226115">
      <w:pPr>
        <w:pStyle w:val="Heading1"/>
        <w:spacing w:before="240" w:after="120"/>
        <w:rPr>
          <w:sz w:val="28"/>
          <w:szCs w:val="28"/>
        </w:rPr>
      </w:pPr>
      <w:r>
        <w:rPr>
          <w:b/>
          <w:bCs/>
          <w:sz w:val="28"/>
          <w:szCs w:val="28"/>
        </w:rPr>
        <w:lastRenderedPageBreak/>
        <w:t>3. Research Gap</w:t>
      </w:r>
      <w:r w:rsidR="00630F14">
        <w:rPr>
          <w:b/>
          <w:bCs/>
          <w:sz w:val="28"/>
          <w:szCs w:val="28"/>
        </w:rPr>
        <w:t>s</w:t>
      </w:r>
    </w:p>
    <w:p w14:paraId="24D5DDD9" w14:textId="77777777" w:rsidR="008D0767" w:rsidRDefault="00226115">
      <w:pPr>
        <w:spacing w:after="120"/>
        <w:jc w:val="both"/>
      </w:pPr>
      <w:r>
        <w:t>Three gaps motivate this study, stated briefly here (Section 1.2 provides the full treatment).</w:t>
      </w:r>
    </w:p>
    <w:p w14:paraId="3BACA4C0" w14:textId="77777777" w:rsidR="008D0767" w:rsidRDefault="00226115">
      <w:pPr>
        <w:spacing w:after="120"/>
        <w:jc w:val="both"/>
      </w:pPr>
      <w:r>
        <w:t>First, dominant forecasting methods (ARIMA, IEA STEPS) extrapolate from historical trends without encoding the variables — oil price and infrastructure — that actually drive EV demand. A method that cannot accept policy inputs as variables cannot answer the questions that matter to planners.</w:t>
      </w:r>
    </w:p>
    <w:p w14:paraId="69392833" w14:textId="77777777" w:rsidR="008D0767" w:rsidRDefault="00226115">
      <w:pPr>
        <w:spacing w:after="120"/>
        <w:jc w:val="both"/>
      </w:pPr>
      <w:r>
        <w:t>Second, the ARIMA-IEA STEPS convergence often cited as independent corroboration is not independent — both methods share the same underlying extrapolation logic, which understates genuine forecast uncertainty.</w:t>
      </w:r>
    </w:p>
    <w:p w14:paraId="50C80D2F" w14:textId="77777777" w:rsidR="008D0767" w:rsidRDefault="00226115">
      <w:pPr>
        <w:spacing w:after="120"/>
        <w:jc w:val="both"/>
      </w:pPr>
      <w:r>
        <w:t>Third, no published study has directly benchmarked India's current infrastructure position against China's at a comparable development stage (circa 2015–2017), which would allow planners to assess the credibility of India's 2030 targets against a known, successful precedent.</w:t>
      </w:r>
    </w:p>
    <w:p w14:paraId="02A94DE4" w14:textId="1F331E95" w:rsidR="00C53B94" w:rsidRDefault="006A200A" w:rsidP="009459BC">
      <w:pPr>
        <w:spacing w:before="120" w:after="160"/>
        <w:jc w:val="both"/>
      </w:pPr>
      <w:r w:rsidRPr="009459BC">
        <w:rPr>
          <w:b/>
          <w:bCs/>
        </w:rPr>
        <w:t xml:space="preserve">Why closing these gaps matters beyond publication: </w:t>
      </w:r>
      <w:r w:rsidRPr="009459BC">
        <w:t>A model that cannot run policy counterfactuals cannot support a capital-allocation decision; a convergence between forecasts that is not actually independent evidence can create false confidence at exactly the moment a decision-maker needs an honest account of uncertainty; and without a comparable historical benchmark, there is no way to judge whether India’s current infrastructure pace is on track or badly behind. Sections 5 through 10 are built specifically to close these three gaps with usable output, not merely to note that they exist.</w:t>
      </w:r>
    </w:p>
    <w:p w14:paraId="341DE205" w14:textId="77777777" w:rsidR="008D0767" w:rsidRDefault="00226115">
      <w:pPr>
        <w:pStyle w:val="Heading1"/>
        <w:spacing w:before="240" w:after="120"/>
      </w:pPr>
      <w:r>
        <w:rPr>
          <w:b/>
          <w:bCs/>
          <w:sz w:val="24"/>
          <w:szCs w:val="24"/>
        </w:rPr>
        <w:t>4. Research Objectives</w:t>
      </w:r>
    </w:p>
    <w:p w14:paraId="7974AA83" w14:textId="77777777" w:rsidR="008D0767" w:rsidRDefault="00226115">
      <w:pPr>
        <w:spacing w:after="120"/>
        <w:jc w:val="both"/>
      </w:pPr>
      <w:r>
        <w:t>This study is organised around three specific objectives that directly correspond to the analysis conducted and reported in this paper:</w:t>
      </w:r>
    </w:p>
    <w:p w14:paraId="0BBE6C7D" w14:textId="77777777" w:rsidR="008D0767" w:rsidRDefault="00226115">
      <w:pPr>
        <w:spacing w:after="120"/>
        <w:ind w:left="720"/>
        <w:jc w:val="both"/>
      </w:pPr>
      <w:r>
        <w:rPr>
          <w:b/>
          <w:bCs/>
        </w:rPr>
        <w:lastRenderedPageBreak/>
        <w:t xml:space="preserve">1.  </w:t>
      </w:r>
      <w:r>
        <w:t>To train and compare four machine learning models—Polynomial Regression, Hypertuned XGBoost, Random Forest, and K-Nearest Neighbours—on global EV sales data from 2010 to 2023, using oil price and charging infrastructure as explicit feature inputs, and to evaluate their relative forecasting performance against ARIMA using R² and MAPE.</w:t>
      </w:r>
    </w:p>
    <w:p w14:paraId="2354A57E" w14:textId="77777777" w:rsidR="008D0767" w:rsidRDefault="00226115">
      <w:pPr>
        <w:spacing w:after="120"/>
        <w:ind w:left="720"/>
        <w:jc w:val="both"/>
      </w:pPr>
      <w:r>
        <w:rPr>
          <w:b/>
          <w:bCs/>
        </w:rPr>
        <w:t xml:space="preserve">2.  </w:t>
      </w:r>
      <w:r>
        <w:t>To generate two scenario-based global EV sales projections for 2024–2030, reflecting different assumptions about oil price trajectory and charger deployment rates, and to demonstrate why feature-aware models are structurally more useful for policy-facing forecasting tasks.</w:t>
      </w:r>
    </w:p>
    <w:p w14:paraId="015DA174" w14:textId="77777777" w:rsidR="008D0767" w:rsidRDefault="00226115">
      <w:pPr>
        <w:spacing w:after="120"/>
        <w:ind w:left="720"/>
        <w:jc w:val="both"/>
      </w:pPr>
      <w:r>
        <w:rPr>
          <w:b/>
          <w:bCs/>
        </w:rPr>
        <w:t xml:space="preserve">3.  </w:t>
      </w:r>
      <w:r>
        <w:t>To quantify India's current EV infrastructure deficit relative to global benchmarks—with particular reference to China's infrastructure position at an equivalent stage of market development—and to derive a concrete, data-grounded policy roadmap for India with specific targets and timelines.</w:t>
      </w:r>
    </w:p>
    <w:p w14:paraId="2E7D332D" w14:textId="1BECDB3D" w:rsidR="008D0767" w:rsidRDefault="006A200A" w:rsidP="001B76F4">
      <w:pPr>
        <w:spacing w:before="120" w:after="160"/>
        <w:jc w:val="both"/>
      </w:pPr>
      <w:r w:rsidRPr="001B76F4">
        <w:rPr>
          <w:b/>
          <w:bCs/>
        </w:rPr>
        <w:t xml:space="preserve">Who benefits from each objective: </w:t>
      </w:r>
      <w:r w:rsidRPr="001B76F4">
        <w:t>Objective 1 gives industry and government planners a model that can be interrogated with a scenario rather than only a historical trend. Objective 2 gives investment committees a defensible range — a ceiling and a floor — to plan capital allocation against, instead of a single point estimate that hides its own uncertainty. Objective 3 turns India’s infrastructure gap from a general sense of falling behind into a specific, actionable number that a ministry or investor can plan and budget against.</w:t>
      </w:r>
    </w:p>
    <w:p w14:paraId="14210F88" w14:textId="77777777" w:rsidR="008D0767" w:rsidRPr="00174A77" w:rsidRDefault="00226115">
      <w:pPr>
        <w:pStyle w:val="Heading1"/>
        <w:spacing w:before="240" w:after="120"/>
        <w:rPr>
          <w:sz w:val="28"/>
          <w:szCs w:val="28"/>
        </w:rPr>
      </w:pPr>
      <w:r>
        <w:rPr>
          <w:b/>
          <w:bCs/>
          <w:sz w:val="28"/>
          <w:szCs w:val="28"/>
        </w:rPr>
        <w:t>5. Methodology</w:t>
      </w:r>
    </w:p>
    <w:p w14:paraId="535D8123" w14:textId="77777777" w:rsidR="008D0767" w:rsidRDefault="00226115">
      <w:pPr>
        <w:pStyle w:val="Heading2"/>
        <w:spacing w:before="200" w:after="100"/>
      </w:pPr>
      <w:r>
        <w:rPr>
          <w:b/>
          <w:bCs/>
          <w:sz w:val="24"/>
          <w:szCs w:val="24"/>
        </w:rPr>
        <w:t>5.1 Data Sources</w:t>
      </w:r>
    </w:p>
    <w:p w14:paraId="4530066A" w14:textId="77777777" w:rsidR="008D0767" w:rsidRDefault="00226115">
      <w:pPr>
        <w:spacing w:after="120"/>
        <w:jc w:val="both"/>
      </w:pPr>
      <w:r>
        <w:t xml:space="preserve">The primary dataset covers annual global EV sales from 2010 to 2023. Sales data is drawn from IEA Global EV Outlook publications (2015–2024), supplemented by EV Volumes and CATARC for China-specific figures. Charging infrastructure data—total public charging </w:t>
      </w:r>
      <w:r>
        <w:lastRenderedPageBreak/>
        <w:t>points by year—is sourced from the IEA's Global EV Data Explorer. Annual average Brent crude oil prices come from the US Energy Information Administration (EIA). Country-level breakdown uses the same IEA series. All values are annual aggregates; monthly granularity was not available for the full period.</w:t>
      </w:r>
    </w:p>
    <w:p w14:paraId="5E72DD28" w14:textId="77777777" w:rsidR="008D0767" w:rsidRDefault="00226115">
      <w:pPr>
        <w:pStyle w:val="Heading2"/>
        <w:spacing w:before="200" w:after="100"/>
      </w:pPr>
      <w:r>
        <w:rPr>
          <w:b/>
          <w:bCs/>
          <w:sz w:val="24"/>
          <w:szCs w:val="24"/>
        </w:rPr>
        <w:t>5.2 Feature Selection</w:t>
      </w:r>
    </w:p>
    <w:p w14:paraId="779B40C3" w14:textId="77777777" w:rsidR="008D0767" w:rsidRDefault="00226115">
      <w:pPr>
        <w:spacing w:after="120"/>
        <w:jc w:val="both"/>
      </w:pPr>
      <w:r>
        <w:t>Three features: year (proxy for technology and sentiment trends), the natural log of total public charging points, and annual average Brent crude oil price. The log transformation reflects a well-documented diminishing returns effect — the first 100,000 chargers move consumer confidence far more than the next million. India, as of 2023, was still in the steep part of that curve. Log-transforming captures this non-linearity without a separate functional form assumption (Bai et al., 2022; Gnann et al., 2018).</w:t>
      </w:r>
    </w:p>
    <w:p w14:paraId="1A107500" w14:textId="77777777" w:rsidR="00363566" w:rsidRPr="007A55CB" w:rsidRDefault="006A200A">
      <w:pPr>
        <w:spacing w:before="120" w:after="160"/>
        <w:jc w:val="both"/>
      </w:pPr>
      <w:r w:rsidRPr="007A55CB">
        <w:rPr>
          <w:b/>
          <w:bCs/>
        </w:rPr>
        <w:t xml:space="preserve">What the diminishing-returns curve means for capital allocation: </w:t>
      </w:r>
      <w:r w:rsidRPr="007A55CB">
        <w:t>If the first 100,000 chargers in a market matter more to adoption than the next million, the marginal return on infrastructure spending is highest in under-served, low-density markets — India among them — and lowest in already-dense markets such as China or Germany. This is a direct argument for where the next unit of public or private charging investment should go, not only a modelling convenience.</w:t>
      </w:r>
    </w:p>
    <w:p w14:paraId="046533BB" w14:textId="77777777" w:rsidR="008D0767" w:rsidRDefault="00226115">
      <w:pPr>
        <w:pStyle w:val="Heading2"/>
        <w:spacing w:before="200" w:after="100"/>
      </w:pPr>
      <w:r>
        <w:rPr>
          <w:b/>
          <w:bCs/>
          <w:sz w:val="24"/>
          <w:szCs w:val="24"/>
        </w:rPr>
        <w:t>5.3 Methodology Justification: Why Machine Learning Over ARIMA?</w:t>
      </w:r>
    </w:p>
    <w:p w14:paraId="397E3F49" w14:textId="77777777" w:rsidR="008D0767" w:rsidRDefault="00226115">
      <w:pPr>
        <w:spacing w:after="120"/>
        <w:jc w:val="both"/>
      </w:pPr>
      <w:r>
        <w:t>The choice of ML over ARIMA follows from the data structure, not a preference for newer methods. EV sales are driven by identifiable external variables — oil prices and charging infrastructure — that change for reasons unrelated to the sales trend itself. A model that excludes those drivers is misspecified for this task, regardless of how well it fits historical data.</w:t>
      </w:r>
    </w:p>
    <w:p w14:paraId="3B4EAFC2" w14:textId="77777777" w:rsidR="008D0767" w:rsidRDefault="00226115">
      <w:pPr>
        <w:spacing w:after="120"/>
        <w:jc w:val="both"/>
      </w:pPr>
      <w:r>
        <w:t xml:space="preserve">The specific case for XGBoost over other ML alternatives rests on three properties. First, XGBoost handles small datasets well. The 13-year annual dataset used here is too short for </w:t>
      </w:r>
      <w:r>
        <w:lastRenderedPageBreak/>
        <w:t>deep learning approaches, which typically require hundreds to thousands of observations to avoid overfitting. Second, XGBoost's gradient boosting architecture is robust to the kind of structural break present in this data (the COVID-19 demand collapse in 2020), a property demonstrated in Liu et al. (2022) for the EV context and in Hao et al. (2021) for the Chinese market specifically. Third, XGBoost's hyperparameter tuning via GridSearchCV allows systematic optimisation across the full parameter space like learning rate, tree depth, subsample ratio, and column sampling rather than relying on default settings that may not suit the data at hand. Taken together, these properties make XGBoost the most suitable primary model for a short, feature-rich annual dataset with a known structural break (Wang et al., 2024; Zhang et al., 2023).</w:t>
      </w:r>
    </w:p>
    <w:p w14:paraId="54B96FF4" w14:textId="77777777" w:rsidR="00363566" w:rsidRPr="004231D0" w:rsidRDefault="006A200A">
      <w:pPr>
        <w:spacing w:before="120" w:after="160"/>
        <w:jc w:val="both"/>
      </w:pPr>
      <w:r w:rsidRPr="004231D0">
        <w:rPr>
          <w:b/>
          <w:bCs/>
        </w:rPr>
        <w:t xml:space="preserve">Why model choice is a decision-quality question, not just a fit question: </w:t>
      </w:r>
      <w:r w:rsidRPr="004231D0">
        <w:t>A model chosen purely for its fit to historical data, without regard for whether it can answer a scenario question, is of limited use to anyone making a forward-looking decision. The case for XGBoost made here is really a case for choosing models on the basis of what a decision-maker can do with the output — run a counterfactual, stress-test an assumption — rather than on accuracy metrics alone.</w:t>
      </w:r>
    </w:p>
    <w:p w14:paraId="6908D29B" w14:textId="77777777" w:rsidR="008D0767" w:rsidRDefault="00226115">
      <w:pPr>
        <w:spacing w:after="120"/>
        <w:jc w:val="both"/>
      </w:pPr>
      <w:r>
        <w:t>Random Forest and KNN were included not as competing primary models but as bounds-setting tools: Random Forest as a conservative lower bound on plausible adoption (it averages multiple decision trees and is less prone to extrapolation), and KNN as an illustration of what pattern-matching without extrapolation produces. Polynomial Regression was included specifically as a cautionary case—its training fit is perfect, but its out-of-sample behaviour is catastrophic, which makes the contrast with XGBoost analytically useful.</w:t>
      </w:r>
    </w:p>
    <w:p w14:paraId="128484E3" w14:textId="77777777" w:rsidR="008D0767" w:rsidRDefault="00226115">
      <w:pPr>
        <w:pStyle w:val="Heading2"/>
        <w:spacing w:before="200" w:after="100"/>
      </w:pPr>
      <w:r>
        <w:rPr>
          <w:b/>
          <w:bCs/>
          <w:sz w:val="24"/>
          <w:szCs w:val="24"/>
        </w:rPr>
        <w:t>5.4 Methodology Comparison: Why Not Other Approaches?</w:t>
      </w:r>
    </w:p>
    <w:p w14:paraId="00EAC69F" w14:textId="77777777" w:rsidR="008D0767" w:rsidRDefault="00226115">
      <w:pPr>
        <w:spacing w:after="120"/>
        <w:jc w:val="both"/>
      </w:pPr>
      <w:r>
        <w:t>Several methodologies were considered and rejected for specific reasons:</w:t>
      </w:r>
    </w:p>
    <w:p w14:paraId="49D2602F" w14:textId="77777777" w:rsidR="008D0767" w:rsidRDefault="00226115">
      <w:pPr>
        <w:spacing w:after="120"/>
        <w:jc w:val="both"/>
      </w:pPr>
      <w:r>
        <w:rPr>
          <w:b/>
          <w:bCs/>
        </w:rPr>
        <w:lastRenderedPageBreak/>
        <w:t xml:space="preserve">ARIMA/SARIMA: </w:t>
      </w:r>
      <w:r>
        <w:t>As argued in Sections 1.2 and 3, ARIMA cannot accept oil price or infrastructure data as explicit inputs. Its performance on historical EV data is strong - R² of 0.998 is achieved in this study—but its forward projections are insensitive to the variables that will actually determine whether 2030 outcomes are closer to 15 million or 40 million units. ARIMA is retained in this study as a benchmark but not as a policy-facing tool.</w:t>
      </w:r>
    </w:p>
    <w:p w14:paraId="26C0BB2D" w14:textId="77777777" w:rsidR="008D0767" w:rsidRDefault="00226115">
      <w:pPr>
        <w:spacing w:after="120"/>
        <w:jc w:val="both"/>
      </w:pPr>
      <w:r>
        <w:rPr>
          <w:b/>
          <w:bCs/>
        </w:rPr>
        <w:t xml:space="preserve">LSTM / deep learning: </w:t>
      </w:r>
      <w:r>
        <w:t>LSTM networks require far more than 13 annual observations to train reliably; overfitting would be near-certain, and interpretability — important for policy-facing work — would be reduced. Li et al. (2023) found LSTM did not outperform well-tuned XGBoost on comparable datasets.</w:t>
      </w:r>
    </w:p>
    <w:p w14:paraId="4AD972F5" w14:textId="77777777" w:rsidR="008D0767" w:rsidRDefault="00226115">
      <w:pPr>
        <w:spacing w:after="120"/>
        <w:jc w:val="both"/>
      </w:pPr>
      <w:r>
        <w:rPr>
          <w:b/>
          <w:bCs/>
        </w:rPr>
        <w:t xml:space="preserve">Agent-based or system dynamics models: </w:t>
      </w:r>
      <w:r>
        <w:t>These approaches model adoption diffusion well but require extensive consumer behaviour calibration data that was unavailable for this global annual dataset, and would need separate calibration per country, making the India-China benchmark comparison intractable.</w:t>
      </w:r>
    </w:p>
    <w:p w14:paraId="131BF108" w14:textId="77777777" w:rsidR="008D0767" w:rsidRDefault="00226115">
      <w:pPr>
        <w:spacing w:after="120"/>
        <w:jc w:val="both"/>
      </w:pPr>
      <w:r>
        <w:rPr>
          <w:b/>
          <w:bCs/>
        </w:rPr>
        <w:t xml:space="preserve">Computable General Equilibrium (CGE) models: </w:t>
      </w:r>
      <w:r>
        <w:t>CGE frameworks are appropriate for 20-to-30-year macro scenarios; for a 7-year forecast built around two specific variables, the added complexity reduces transparency without improving precision.</w:t>
      </w:r>
    </w:p>
    <w:p w14:paraId="31FA7315" w14:textId="77777777" w:rsidR="008D0767" w:rsidRDefault="00226115">
      <w:pPr>
        <w:pStyle w:val="Heading2"/>
        <w:spacing w:before="200" w:after="100"/>
      </w:pPr>
      <w:r>
        <w:rPr>
          <w:b/>
          <w:bCs/>
          <w:sz w:val="24"/>
          <w:szCs w:val="24"/>
        </w:rPr>
        <w:t>5.5 Model Architecture and Training</w:t>
      </w:r>
    </w:p>
    <w:p w14:paraId="41ACD742" w14:textId="3CD0D9FA" w:rsidR="00C53B94" w:rsidRDefault="00226115">
      <w:pPr>
        <w:spacing w:after="120"/>
        <w:jc w:val="both"/>
      </w:pPr>
      <w:r>
        <w:t>All four models were trained on the same 13-year dataset. Polynomial Regression (degree 3) illustrates unconstrained extrapolation failure. Random Forest and KNN serve as conservative bounds. Hypertuned XGBoost is the primary model, tuned via GridSearchCV across 243 hyperparameter combinations. No held-out test period was applied (acknowledged as a limitation in Section 9.1), so all fit metrics are in-sample.</w:t>
      </w:r>
    </w:p>
    <w:p w14:paraId="1ECACBC8" w14:textId="77777777" w:rsidR="008D0767" w:rsidRDefault="00226115">
      <w:pPr>
        <w:pStyle w:val="Heading2"/>
        <w:spacing w:before="200" w:after="100"/>
      </w:pPr>
      <w:r>
        <w:rPr>
          <w:b/>
          <w:bCs/>
          <w:sz w:val="24"/>
          <w:szCs w:val="24"/>
        </w:rPr>
        <w:t>5.6 Evaluation Metrics</w:t>
      </w:r>
    </w:p>
    <w:p w14:paraId="64F87219" w14:textId="77777777" w:rsidR="008D0767" w:rsidRDefault="00226115">
      <w:pPr>
        <w:spacing w:after="120"/>
        <w:jc w:val="both"/>
      </w:pPr>
      <w:r>
        <w:lastRenderedPageBreak/>
        <w:t>Model performance was measured using R² (coefficient of determination) and MAPE (Mean Absolute Percentage Error). R² measures how much of the variance in EV sales the model explains. MAPE measures the average percentage deviation between predicted and actual values. A model with R² close to 1.0 and MAPE close to 0% fits the training data tightly. The important caveat—discussed in the results—is that these metrics alone do not tell you whether a model will be useful for forward projection. Polynomial Regression achieved R² = 1.0000 and MAPE ≈ 0% on the training data and still produced physically implausible forecasts. That is why the model comparison includes qualitative assessment of forecast behaviour, not just training metrics.</w:t>
      </w:r>
    </w:p>
    <w:p w14:paraId="2A3E1CFF" w14:textId="77777777" w:rsidR="00363566" w:rsidRPr="00BE6325" w:rsidRDefault="006A200A">
      <w:pPr>
        <w:spacing w:before="120" w:after="160"/>
        <w:jc w:val="both"/>
      </w:pPr>
      <w:r w:rsidRPr="00BE6325">
        <w:rPr>
          <w:b/>
          <w:bCs/>
        </w:rPr>
        <w:t xml:space="preserve">A caution for evaluating any vendor’s or agency’s forecast claims: </w:t>
      </w:r>
      <w:r w:rsidRPr="00BE6325">
        <w:t>Polynomial Regression’s perfect training fit and its simultaneous production of a physically impossible forecast is a useful general warning: a headline accuracy number is not, by itself, evidence that a forecast is safe to plan against. Anyone evaluating a market forecast, whether produced internally or purchased from a vendor, should ask what it does out-of-sample and under a changed assumption, not only how well it explains the past.</w:t>
      </w:r>
    </w:p>
    <w:p w14:paraId="2BEB3C67" w14:textId="77777777" w:rsidR="008D0767" w:rsidRDefault="00226115">
      <w:pPr>
        <w:pStyle w:val="Heading2"/>
        <w:spacing w:before="200" w:after="100"/>
      </w:pPr>
      <w:r>
        <w:rPr>
          <w:b/>
          <w:bCs/>
          <w:sz w:val="24"/>
          <w:szCs w:val="24"/>
        </w:rPr>
        <w:t>5.7 India-China Benchmark Methodology</w:t>
      </w:r>
    </w:p>
    <w:p w14:paraId="0FECB0C7" w14:textId="33471CE5" w:rsidR="00174A77" w:rsidRDefault="00226115">
      <w:pPr>
        <w:spacing w:after="120"/>
        <w:jc w:val="both"/>
      </w:pPr>
      <w:r>
        <w:t>To benchmark India's current position against China's historical trajectory, we aligned the two countries on the basis of EV passenger car market penetration rate rather than calendar year. Specifically, we identified the period during which China moved from approximately 1% to 5% passenger car EV penetration (approximately 2015–2019) and compared infrastructure density, policy support intensity, and sales growth rates during that window against India's current position. This approach controls for the time-lag between market entry points and allows a like-for-like comparison of transition dynamics.</w:t>
      </w:r>
    </w:p>
    <w:p w14:paraId="064669C9" w14:textId="77777777" w:rsidR="008D0767" w:rsidRDefault="008D0767"/>
    <w:p w14:paraId="5654ECEE" w14:textId="77777777" w:rsidR="008D0767" w:rsidRPr="00174A77" w:rsidRDefault="00226115">
      <w:pPr>
        <w:pStyle w:val="Heading1"/>
        <w:spacing w:before="240" w:after="120"/>
        <w:rPr>
          <w:sz w:val="28"/>
          <w:szCs w:val="28"/>
        </w:rPr>
      </w:pPr>
      <w:r>
        <w:rPr>
          <w:b/>
          <w:bCs/>
          <w:sz w:val="28"/>
          <w:szCs w:val="28"/>
        </w:rPr>
        <w:lastRenderedPageBreak/>
        <w:t>6. Significance of This Study</w:t>
      </w:r>
    </w:p>
    <w:p w14:paraId="1312470C" w14:textId="77777777" w:rsidR="008D0767" w:rsidRDefault="00226115">
      <w:pPr>
        <w:spacing w:after="120"/>
        <w:jc w:val="both"/>
      </w:pPr>
      <w:r>
        <w:t>The study's findings serve three audiences differently.</w:t>
      </w:r>
    </w:p>
    <w:p w14:paraId="3F3C5001" w14:textId="77777777" w:rsidR="008D0767" w:rsidRDefault="00226115">
      <w:pPr>
        <w:pStyle w:val="Heading2"/>
        <w:spacing w:before="200" w:after="100"/>
      </w:pPr>
      <w:r>
        <w:rPr>
          <w:b/>
          <w:bCs/>
          <w:sz w:val="24"/>
          <w:szCs w:val="24"/>
        </w:rPr>
        <w:t>6.1 Contribution to Research</w:t>
      </w:r>
    </w:p>
    <w:p w14:paraId="07D61C7F" w14:textId="6067582D" w:rsidR="008D0767" w:rsidRDefault="00226115">
      <w:pPr>
        <w:spacing w:after="120"/>
        <w:jc w:val="both"/>
      </w:pPr>
      <w:r>
        <w:t>Th</w:t>
      </w:r>
      <w:r w:rsidR="00BE6325">
        <w:t>e</w:t>
      </w:r>
      <w:r>
        <w:t xml:space="preserve"> study adds to a growing body of evidence that gradient boosting models specifically XGBoost with feature-rich inputs should replace ARIMA as the default for EV demand forecasting when multi-year, structured data is available. Beyond the model comparison itself, the more specific contribution is that log-transformed infrastructure data and oil price produce better forward projections in terms of economic plausibility, not just in-sample fit. The India-China benchmarking framework is also replicable: any researcher assessing an emerging market's electric vehicle transition against a known historical trajectory can apply the same alignment method without assuming identical timelines (Zhang et al., 2023; Wang et al., 2024).</w:t>
      </w:r>
    </w:p>
    <w:p w14:paraId="3C0FD75B" w14:textId="77777777" w:rsidR="008D0767" w:rsidRDefault="00226115">
      <w:pPr>
        <w:spacing w:after="120"/>
        <w:jc w:val="both"/>
      </w:pPr>
      <w:r>
        <w:t>The study also demonstrates that the apparent convergence between ARIMA and IEA STEPS projections can reflect shared methodology rather than independent evidence. This is a general methodological point with implications beyond EV forecasting.</w:t>
      </w:r>
    </w:p>
    <w:p w14:paraId="46C57FC5" w14:textId="77777777" w:rsidR="008D0767" w:rsidRDefault="00226115">
      <w:pPr>
        <w:pStyle w:val="Heading2"/>
        <w:spacing w:before="200" w:after="100"/>
      </w:pPr>
      <w:r>
        <w:rPr>
          <w:b/>
          <w:bCs/>
          <w:sz w:val="24"/>
          <w:szCs w:val="24"/>
        </w:rPr>
        <w:t>6.2 Contribution to Industry</w:t>
      </w:r>
    </w:p>
    <w:p w14:paraId="21C38DDF" w14:textId="77777777" w:rsidR="008D0767" w:rsidRDefault="00226115">
      <w:pPr>
        <w:spacing w:after="120"/>
        <w:jc w:val="both"/>
      </w:pPr>
      <w:r>
        <w:t>For automakers, infrastructure developers, and investors, the most directly useful output is the gap between the model forecasts. The difference between XGBoost's 41.4-million-unit projection and Random Forest's conservative 10.7-million-unit baseline is not a rounding error but it is a factor of nearly four. An investment decision that ignores the variables driving that gap is working with incomplete information on what may be the most consequential uncertainty.</w:t>
      </w:r>
    </w:p>
    <w:p w14:paraId="66266DAA" w14:textId="77777777" w:rsidR="008D0767" w:rsidRDefault="00226115">
      <w:pPr>
        <w:spacing w:after="120"/>
        <w:jc w:val="both"/>
      </w:pPr>
      <w:r>
        <w:t xml:space="preserve">For companies operating in India specifically, the 2-wheeler and 3-wheeler segments present the clearest near-term business case. Total cost of ownership has already crossed parity with petrol equivalents. The 3-wheeler market crossed 60% electric sales share in 2025 without </w:t>
      </w:r>
      <w:r>
        <w:lastRenderedPageBreak/>
        <w:t>direct purchase subsidies (IEA, 2026). The companies that address consumer financing and charging access together are likely to establish positions that are harder to displace once the market stabilises.</w:t>
      </w:r>
    </w:p>
    <w:p w14:paraId="6B4A01CD" w14:textId="77777777" w:rsidR="008D0767" w:rsidRDefault="00226115">
      <w:pPr>
        <w:pStyle w:val="Heading2"/>
        <w:spacing w:before="200" w:after="100"/>
      </w:pPr>
      <w:r>
        <w:rPr>
          <w:b/>
          <w:bCs/>
          <w:sz w:val="24"/>
          <w:szCs w:val="24"/>
        </w:rPr>
        <w:t>6.3 Contribution to Society and Policy</w:t>
      </w:r>
    </w:p>
    <w:p w14:paraId="1133F6A8" w14:textId="77777777" w:rsidR="008D0767" w:rsidRDefault="00226115">
      <w:pPr>
        <w:spacing w:after="120"/>
        <w:jc w:val="both"/>
      </w:pPr>
      <w:r>
        <w:t>Urban air quality in Delhi (India’s capital), Mumbai (the country’s financial centre), and Kolkata (a major city in eastern India) is a serious and measurable public health problem; vehicular emissions are among the leading contributors. An electric 2-wheeler and 3-wheeler fleet removes a meaningful share of that. The people most exposed to those emissions like autorickshaw drivers, delivery workers, daily commuters are also the people most likely to benefit from lower fuel costs per kilometre.</w:t>
      </w:r>
    </w:p>
    <w:p w14:paraId="25D8D7EA" w14:textId="15CD98DD" w:rsidR="00174A77" w:rsidRDefault="00226115" w:rsidP="00BE6325">
      <w:pPr>
        <w:spacing w:after="120"/>
        <w:jc w:val="both"/>
        <w:rPr>
          <w:b/>
          <w:bCs/>
        </w:rPr>
      </w:pPr>
      <w:r>
        <w:t>On the national fiscal side, India's crude oil import bill exceeded USD 150 billion in 2022–23. The IEA projects that globally, the annual displacement of oil by EVs will triple from 1.7 million to around 5 million barrels per day by 2030 (IEA, 2026). India's share of that displacement is currently small but growing. Section 10 sets out policy recommendations drawn from the data, sequenced by infrastructure priority and fiscal realism.</w:t>
      </w:r>
    </w:p>
    <w:p w14:paraId="0ADFE94D" w14:textId="77777777" w:rsidR="008D0767" w:rsidRPr="00174A77" w:rsidRDefault="00226115">
      <w:pPr>
        <w:pStyle w:val="Heading1"/>
        <w:spacing w:before="240" w:after="120"/>
        <w:rPr>
          <w:sz w:val="28"/>
          <w:szCs w:val="28"/>
        </w:rPr>
      </w:pPr>
      <w:r>
        <w:rPr>
          <w:b/>
          <w:bCs/>
          <w:sz w:val="28"/>
          <w:szCs w:val="28"/>
        </w:rPr>
        <w:t>7. Actual Analysis</w:t>
      </w:r>
    </w:p>
    <w:p w14:paraId="4B05F8C7" w14:textId="77777777" w:rsidR="008D0767" w:rsidRDefault="00226115">
      <w:pPr>
        <w:pStyle w:val="Heading2"/>
        <w:spacing w:before="200" w:after="100"/>
      </w:pPr>
      <w:r>
        <w:rPr>
          <w:b/>
          <w:bCs/>
          <w:sz w:val="24"/>
          <w:szCs w:val="24"/>
        </w:rPr>
        <w:t>7.1 Global EV Infrastructure and Oil Price Trends (2010–2023)</w:t>
      </w:r>
    </w:p>
    <w:p w14:paraId="3F25C0E9" w14:textId="77777777" w:rsidR="008D0767" w:rsidRDefault="00226115">
      <w:pPr>
        <w:spacing w:after="120"/>
        <w:jc w:val="both"/>
      </w:pPr>
      <w:r>
        <w:t>Between 2010 and 2023, public EV chargers grew 390-fold from roughly 10,000 to 3.9 million, while Brent crude swung from $80 to $112, crashed to $42 during COVID, recovered to $101 in 2022, then settled at $84 in 2023. Figure 1 shows both.</w:t>
      </w:r>
    </w:p>
    <w:p w14:paraId="26668396" w14:textId="77777777" w:rsidR="008D0767" w:rsidRDefault="584F4E83" w:rsidP="584F4E83">
      <w:pPr>
        <w:spacing w:after="120"/>
        <w:jc w:val="both"/>
      </w:pPr>
      <w:r>
        <w:t xml:space="preserve">The 2016 episode is instructive. Oil prices fell to $44 per barrel, the lowest since the early 2000s, and electric vehicle sales growth slowed. It did not stop. The charging network continued expanding, and within two years adoption was climbing again. The implication is </w:t>
      </w:r>
      <w:r>
        <w:lastRenderedPageBreak/>
        <w:t>that once charging infrastructure reaches sufficient density, it generates its own demand pull. Oil prices remain a factor, but they are no longer the only one.</w:t>
      </w:r>
      <w:r>
        <w:rPr>
          <w:noProof/>
        </w:rPr>
        <w:drawing>
          <wp:inline distT="0" distB="0" distL="0" distR="0" wp14:anchorId="76F50F18" wp14:editId="5E4DFF0F">
            <wp:extent cx="5524500" cy="3524250"/>
            <wp:effectExtent l="0" t="0" r="0" b="0"/>
            <wp:docPr id="1940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86" name="Picture 1940986"/>
                    <pic:cNvPicPr/>
                  </pic:nvPicPr>
                  <pic:blipFill>
                    <a:blip r:embed="rId7">
                      <a:extLst>
                        <a:ext uri="{28A0092B-C50C-407E-A947-70E740481C1C}">
                          <a14:useLocalDpi xmlns:a14="http://schemas.microsoft.com/office/drawing/2010/main"/>
                        </a:ext>
                      </a:extLst>
                    </a:blip>
                    <a:stretch>
                      <a:fillRect/>
                    </a:stretch>
                  </pic:blipFill>
                  <pic:spPr>
                    <a:xfrm>
                      <a:off x="0" y="0"/>
                      <a:ext cx="5524500" cy="3524250"/>
                    </a:xfrm>
                    <a:prstGeom prst="rect">
                      <a:avLst/>
                    </a:prstGeom>
                  </pic:spPr>
                </pic:pic>
              </a:graphicData>
            </a:graphic>
          </wp:inline>
        </w:drawing>
      </w:r>
    </w:p>
    <w:p w14:paraId="45D2DC45" w14:textId="77777777" w:rsidR="008D0767" w:rsidRDefault="584F4E83" w:rsidP="584F4E83">
      <w:pPr>
        <w:spacing w:after="80"/>
        <w:jc w:val="center"/>
      </w:pPr>
      <w:r>
        <w:rPr>
          <w:i/>
          <w:iCs/>
        </w:rPr>
        <w:t xml:space="preserve">Figure 1: Global EV Charging Infrastructure Growth &amp; Brent Crude Oil Price Trends (2010–2023). </w:t>
      </w:r>
    </w:p>
    <w:p w14:paraId="084EEF98" w14:textId="531EB45C" w:rsidR="008D0767" w:rsidRDefault="584F4E83" w:rsidP="000F34B4">
      <w:pPr>
        <w:spacing w:after="80"/>
        <w:jc w:val="both"/>
      </w:pPr>
      <w:r>
        <w:rPr>
          <w:i/>
          <w:iCs/>
        </w:rPr>
        <w:t>Top panel—Total global EV charging points (millions) growing from near-zero to 3.9M by 2023. Bottom panel—Annual average Brent crude oil prices showing the 2011–2012 peak and 2020 COVID downfall.</w:t>
      </w:r>
    </w:p>
    <w:p w14:paraId="574A4381" w14:textId="77777777" w:rsidR="008D0767" w:rsidRDefault="00226115">
      <w:pPr>
        <w:spacing w:before="120" w:after="60"/>
      </w:pPr>
      <w:r>
        <w:rPr>
          <w:b/>
          <w:bCs/>
          <w:i/>
          <w:iCs/>
        </w:rPr>
        <w:t>Table 1: Key EV Market Indicators (2011–2023)</w:t>
      </w:r>
    </w:p>
    <w:tbl>
      <w:tblPr>
        <w:tblW w:w="8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400"/>
        <w:gridCol w:w="1400"/>
        <w:gridCol w:w="1400"/>
        <w:gridCol w:w="2055"/>
      </w:tblGrid>
      <w:tr w:rsidR="008D0767" w14:paraId="63A9299F" w14:textId="77777777" w:rsidTr="584F4E83">
        <w:trPr>
          <w:tblHeader/>
        </w:trPr>
        <w:tc>
          <w:tcPr>
            <w:tcW w:w="2400" w:type="dxa"/>
            <w:shd w:val="clear" w:color="auto" w:fill="D9D9D9" w:themeFill="background1" w:themeFillShade="D9"/>
          </w:tcPr>
          <w:p w14:paraId="570C88EC" w14:textId="77777777" w:rsidR="008D0767" w:rsidRDefault="00226115">
            <w:pPr>
              <w:spacing w:before="60" w:after="60" w:line="360" w:lineRule="auto"/>
              <w:jc w:val="center"/>
            </w:pPr>
            <w:r>
              <w:rPr>
                <w:b/>
                <w:bCs/>
                <w:sz w:val="20"/>
                <w:szCs w:val="20"/>
              </w:rPr>
              <w:t>Metric</w:t>
            </w:r>
          </w:p>
        </w:tc>
        <w:tc>
          <w:tcPr>
            <w:tcW w:w="1400" w:type="dxa"/>
            <w:shd w:val="clear" w:color="auto" w:fill="D9D9D9" w:themeFill="background1" w:themeFillShade="D9"/>
          </w:tcPr>
          <w:p w14:paraId="16EDB681" w14:textId="77777777" w:rsidR="008D0767" w:rsidRDefault="00226115">
            <w:pPr>
              <w:spacing w:before="60" w:after="60" w:line="360" w:lineRule="auto"/>
              <w:jc w:val="center"/>
            </w:pPr>
            <w:r>
              <w:rPr>
                <w:b/>
                <w:bCs/>
                <w:sz w:val="20"/>
                <w:szCs w:val="20"/>
              </w:rPr>
              <w:t>2011</w:t>
            </w:r>
          </w:p>
        </w:tc>
        <w:tc>
          <w:tcPr>
            <w:tcW w:w="1400" w:type="dxa"/>
            <w:shd w:val="clear" w:color="auto" w:fill="D9D9D9" w:themeFill="background1" w:themeFillShade="D9"/>
          </w:tcPr>
          <w:p w14:paraId="387F3480" w14:textId="77777777" w:rsidR="008D0767" w:rsidRDefault="00226115">
            <w:pPr>
              <w:spacing w:before="60" w:after="60" w:line="360" w:lineRule="auto"/>
              <w:jc w:val="center"/>
            </w:pPr>
            <w:r>
              <w:rPr>
                <w:b/>
                <w:bCs/>
                <w:sz w:val="20"/>
                <w:szCs w:val="20"/>
              </w:rPr>
              <w:t>2016</w:t>
            </w:r>
          </w:p>
        </w:tc>
        <w:tc>
          <w:tcPr>
            <w:tcW w:w="1400" w:type="dxa"/>
            <w:shd w:val="clear" w:color="auto" w:fill="D9D9D9" w:themeFill="background1" w:themeFillShade="D9"/>
          </w:tcPr>
          <w:p w14:paraId="030DF0D7" w14:textId="77777777" w:rsidR="008D0767" w:rsidRDefault="00226115">
            <w:pPr>
              <w:spacing w:before="60" w:after="60" w:line="360" w:lineRule="auto"/>
              <w:jc w:val="center"/>
            </w:pPr>
            <w:r>
              <w:rPr>
                <w:b/>
                <w:bCs/>
                <w:sz w:val="20"/>
                <w:szCs w:val="20"/>
              </w:rPr>
              <w:t>2020</w:t>
            </w:r>
          </w:p>
        </w:tc>
        <w:tc>
          <w:tcPr>
            <w:tcW w:w="2055" w:type="dxa"/>
            <w:shd w:val="clear" w:color="auto" w:fill="D9D9D9" w:themeFill="background1" w:themeFillShade="D9"/>
          </w:tcPr>
          <w:p w14:paraId="48DD0F84" w14:textId="77777777" w:rsidR="008D0767" w:rsidRDefault="00226115">
            <w:pPr>
              <w:spacing w:before="60" w:after="60" w:line="360" w:lineRule="auto"/>
              <w:jc w:val="center"/>
            </w:pPr>
            <w:r>
              <w:rPr>
                <w:b/>
                <w:bCs/>
                <w:sz w:val="20"/>
                <w:szCs w:val="20"/>
              </w:rPr>
              <w:t>2023</w:t>
            </w:r>
          </w:p>
        </w:tc>
      </w:tr>
      <w:tr w:rsidR="008D0767" w14:paraId="5B7587B1" w14:textId="77777777" w:rsidTr="584F4E83">
        <w:tc>
          <w:tcPr>
            <w:tcW w:w="2400" w:type="dxa"/>
          </w:tcPr>
          <w:p w14:paraId="6BAEB477" w14:textId="77777777" w:rsidR="008D0767" w:rsidRDefault="00226115">
            <w:pPr>
              <w:spacing w:before="60" w:after="60" w:line="360" w:lineRule="auto"/>
              <w:jc w:val="center"/>
            </w:pPr>
            <w:r>
              <w:rPr>
                <w:sz w:val="20"/>
                <w:szCs w:val="20"/>
              </w:rPr>
              <w:t>Global EV Charging Points</w:t>
            </w:r>
          </w:p>
        </w:tc>
        <w:tc>
          <w:tcPr>
            <w:tcW w:w="1400" w:type="dxa"/>
          </w:tcPr>
          <w:p w14:paraId="284E352A" w14:textId="77777777" w:rsidR="008D0767" w:rsidRDefault="00226115">
            <w:pPr>
              <w:spacing w:before="60" w:after="60" w:line="360" w:lineRule="auto"/>
              <w:jc w:val="center"/>
            </w:pPr>
            <w:r>
              <w:rPr>
                <w:sz w:val="20"/>
                <w:szCs w:val="20"/>
              </w:rPr>
              <w:t>~10,000</w:t>
            </w:r>
          </w:p>
        </w:tc>
        <w:tc>
          <w:tcPr>
            <w:tcW w:w="1400" w:type="dxa"/>
          </w:tcPr>
          <w:p w14:paraId="5B5A5084" w14:textId="77777777" w:rsidR="008D0767" w:rsidRDefault="00226115">
            <w:pPr>
              <w:spacing w:before="60" w:after="60" w:line="360" w:lineRule="auto"/>
              <w:jc w:val="center"/>
            </w:pPr>
            <w:r>
              <w:rPr>
                <w:sz w:val="20"/>
                <w:szCs w:val="20"/>
              </w:rPr>
              <w:t>~320,000</w:t>
            </w:r>
          </w:p>
        </w:tc>
        <w:tc>
          <w:tcPr>
            <w:tcW w:w="1400" w:type="dxa"/>
          </w:tcPr>
          <w:p w14:paraId="32CFC400" w14:textId="77777777" w:rsidR="008D0767" w:rsidRDefault="00226115">
            <w:pPr>
              <w:spacing w:before="60" w:after="60" w:line="360" w:lineRule="auto"/>
              <w:jc w:val="center"/>
            </w:pPr>
            <w:r>
              <w:rPr>
                <w:sz w:val="20"/>
                <w:szCs w:val="20"/>
              </w:rPr>
              <w:t>~1.0M</w:t>
            </w:r>
          </w:p>
        </w:tc>
        <w:tc>
          <w:tcPr>
            <w:tcW w:w="2055" w:type="dxa"/>
          </w:tcPr>
          <w:p w14:paraId="679F0AFD" w14:textId="77777777" w:rsidR="008D0767" w:rsidRDefault="00226115">
            <w:pPr>
              <w:spacing w:before="60" w:after="60" w:line="360" w:lineRule="auto"/>
              <w:jc w:val="center"/>
            </w:pPr>
            <w:r>
              <w:rPr>
                <w:sz w:val="20"/>
                <w:szCs w:val="20"/>
              </w:rPr>
              <w:t>3.9M</w:t>
            </w:r>
          </w:p>
        </w:tc>
      </w:tr>
      <w:tr w:rsidR="008D0767" w14:paraId="256DFDF7" w14:textId="77777777" w:rsidTr="584F4E83">
        <w:tc>
          <w:tcPr>
            <w:tcW w:w="2400" w:type="dxa"/>
          </w:tcPr>
          <w:p w14:paraId="46E36DD6" w14:textId="77777777" w:rsidR="008D0767" w:rsidRDefault="00226115">
            <w:pPr>
              <w:spacing w:before="60" w:after="60" w:line="360" w:lineRule="auto"/>
              <w:jc w:val="center"/>
            </w:pPr>
            <w:r>
              <w:rPr>
                <w:sz w:val="20"/>
                <w:szCs w:val="20"/>
              </w:rPr>
              <w:t>Brent Crude ($/barrel)</w:t>
            </w:r>
          </w:p>
        </w:tc>
        <w:tc>
          <w:tcPr>
            <w:tcW w:w="1400" w:type="dxa"/>
          </w:tcPr>
          <w:p w14:paraId="1DF99119" w14:textId="77777777" w:rsidR="008D0767" w:rsidRDefault="00226115">
            <w:pPr>
              <w:spacing w:before="60" w:after="60" w:line="360" w:lineRule="auto"/>
              <w:jc w:val="center"/>
            </w:pPr>
            <w:r>
              <w:rPr>
                <w:sz w:val="20"/>
                <w:szCs w:val="20"/>
              </w:rPr>
              <w:t>$111</w:t>
            </w:r>
          </w:p>
        </w:tc>
        <w:tc>
          <w:tcPr>
            <w:tcW w:w="1400" w:type="dxa"/>
          </w:tcPr>
          <w:p w14:paraId="0A402435" w14:textId="77777777" w:rsidR="008D0767" w:rsidRDefault="00226115">
            <w:pPr>
              <w:spacing w:before="60" w:after="60" w:line="360" w:lineRule="auto"/>
              <w:jc w:val="center"/>
            </w:pPr>
            <w:r>
              <w:rPr>
                <w:sz w:val="20"/>
                <w:szCs w:val="20"/>
              </w:rPr>
              <w:t>$44</w:t>
            </w:r>
          </w:p>
        </w:tc>
        <w:tc>
          <w:tcPr>
            <w:tcW w:w="1400" w:type="dxa"/>
          </w:tcPr>
          <w:p w14:paraId="59B9BA9A" w14:textId="77777777" w:rsidR="008D0767" w:rsidRDefault="00226115">
            <w:pPr>
              <w:spacing w:before="60" w:after="60" w:line="360" w:lineRule="auto"/>
              <w:jc w:val="center"/>
            </w:pPr>
            <w:r>
              <w:rPr>
                <w:sz w:val="20"/>
                <w:szCs w:val="20"/>
              </w:rPr>
              <w:t>$42</w:t>
            </w:r>
          </w:p>
        </w:tc>
        <w:tc>
          <w:tcPr>
            <w:tcW w:w="2055" w:type="dxa"/>
          </w:tcPr>
          <w:p w14:paraId="45388C5F" w14:textId="77777777" w:rsidR="008D0767" w:rsidRDefault="00226115">
            <w:pPr>
              <w:spacing w:before="60" w:after="60" w:line="360" w:lineRule="auto"/>
              <w:jc w:val="center"/>
            </w:pPr>
            <w:r>
              <w:rPr>
                <w:sz w:val="20"/>
                <w:szCs w:val="20"/>
              </w:rPr>
              <w:t>$84</w:t>
            </w:r>
          </w:p>
        </w:tc>
      </w:tr>
      <w:tr w:rsidR="008D0767" w14:paraId="4ED0EAB7" w14:textId="77777777" w:rsidTr="584F4E83">
        <w:tc>
          <w:tcPr>
            <w:tcW w:w="2400" w:type="dxa"/>
          </w:tcPr>
          <w:p w14:paraId="07B4C453" w14:textId="77777777" w:rsidR="008D0767" w:rsidRDefault="00226115">
            <w:pPr>
              <w:spacing w:before="60" w:after="60" w:line="360" w:lineRule="auto"/>
              <w:jc w:val="center"/>
            </w:pPr>
            <w:r>
              <w:rPr>
                <w:sz w:val="20"/>
                <w:szCs w:val="20"/>
              </w:rPr>
              <w:t>Global EV Sales (units)</w:t>
            </w:r>
          </w:p>
        </w:tc>
        <w:tc>
          <w:tcPr>
            <w:tcW w:w="1400" w:type="dxa"/>
          </w:tcPr>
          <w:p w14:paraId="3CDC6497" w14:textId="77777777" w:rsidR="008D0767" w:rsidRDefault="00226115">
            <w:pPr>
              <w:spacing w:before="60" w:after="60" w:line="360" w:lineRule="auto"/>
              <w:jc w:val="center"/>
            </w:pPr>
            <w:r>
              <w:rPr>
                <w:sz w:val="20"/>
                <w:szCs w:val="20"/>
              </w:rPr>
              <w:t>~50,000</w:t>
            </w:r>
          </w:p>
        </w:tc>
        <w:tc>
          <w:tcPr>
            <w:tcW w:w="1400" w:type="dxa"/>
          </w:tcPr>
          <w:p w14:paraId="6E0BD6C9" w14:textId="77777777" w:rsidR="008D0767" w:rsidRDefault="00226115">
            <w:pPr>
              <w:spacing w:before="60" w:after="60" w:line="360" w:lineRule="auto"/>
              <w:jc w:val="center"/>
            </w:pPr>
            <w:r>
              <w:rPr>
                <w:sz w:val="20"/>
                <w:szCs w:val="20"/>
              </w:rPr>
              <w:t>~750,000</w:t>
            </w:r>
          </w:p>
        </w:tc>
        <w:tc>
          <w:tcPr>
            <w:tcW w:w="1400" w:type="dxa"/>
          </w:tcPr>
          <w:p w14:paraId="573BC65E" w14:textId="77777777" w:rsidR="008D0767" w:rsidRDefault="00226115">
            <w:pPr>
              <w:spacing w:before="60" w:after="60" w:line="360" w:lineRule="auto"/>
              <w:jc w:val="center"/>
            </w:pPr>
            <w:r>
              <w:rPr>
                <w:sz w:val="20"/>
                <w:szCs w:val="20"/>
              </w:rPr>
              <w:t>~3.1M</w:t>
            </w:r>
          </w:p>
        </w:tc>
        <w:tc>
          <w:tcPr>
            <w:tcW w:w="2055" w:type="dxa"/>
          </w:tcPr>
          <w:p w14:paraId="2B35ECFA" w14:textId="77777777" w:rsidR="008D0767" w:rsidRDefault="00226115">
            <w:pPr>
              <w:spacing w:before="60" w:after="60" w:line="360" w:lineRule="auto"/>
              <w:jc w:val="center"/>
            </w:pPr>
            <w:r>
              <w:rPr>
                <w:sz w:val="20"/>
                <w:szCs w:val="20"/>
              </w:rPr>
              <w:t>14.3M</w:t>
            </w:r>
          </w:p>
        </w:tc>
      </w:tr>
      <w:tr w:rsidR="008D0767" w14:paraId="2C9B8EC8" w14:textId="77777777" w:rsidTr="584F4E83">
        <w:tc>
          <w:tcPr>
            <w:tcW w:w="2400" w:type="dxa"/>
          </w:tcPr>
          <w:p w14:paraId="3FC95BA7" w14:textId="77777777" w:rsidR="008D0767" w:rsidRDefault="00226115">
            <w:pPr>
              <w:spacing w:before="60" w:after="60" w:line="360" w:lineRule="auto"/>
              <w:jc w:val="center"/>
            </w:pPr>
            <w:r>
              <w:rPr>
                <w:sz w:val="20"/>
                <w:szCs w:val="20"/>
              </w:rPr>
              <w:t>China EV Share (%)</w:t>
            </w:r>
          </w:p>
        </w:tc>
        <w:tc>
          <w:tcPr>
            <w:tcW w:w="1400" w:type="dxa"/>
          </w:tcPr>
          <w:p w14:paraId="2ACDE219" w14:textId="77777777" w:rsidR="008D0767" w:rsidRDefault="00226115">
            <w:pPr>
              <w:spacing w:before="60" w:after="60" w:line="360" w:lineRule="auto"/>
              <w:jc w:val="center"/>
            </w:pPr>
            <w:r>
              <w:rPr>
                <w:sz w:val="20"/>
                <w:szCs w:val="20"/>
              </w:rPr>
              <w:t>~20%</w:t>
            </w:r>
          </w:p>
        </w:tc>
        <w:tc>
          <w:tcPr>
            <w:tcW w:w="1400" w:type="dxa"/>
          </w:tcPr>
          <w:p w14:paraId="3767970C" w14:textId="77777777" w:rsidR="008D0767" w:rsidRDefault="00226115">
            <w:pPr>
              <w:spacing w:before="60" w:after="60" w:line="360" w:lineRule="auto"/>
              <w:jc w:val="center"/>
            </w:pPr>
            <w:r>
              <w:rPr>
                <w:sz w:val="20"/>
                <w:szCs w:val="20"/>
              </w:rPr>
              <w:t>~40%</w:t>
            </w:r>
          </w:p>
        </w:tc>
        <w:tc>
          <w:tcPr>
            <w:tcW w:w="1400" w:type="dxa"/>
          </w:tcPr>
          <w:p w14:paraId="1C1A8985" w14:textId="77777777" w:rsidR="008D0767" w:rsidRDefault="00226115">
            <w:pPr>
              <w:spacing w:before="60" w:after="60" w:line="360" w:lineRule="auto"/>
              <w:jc w:val="center"/>
            </w:pPr>
            <w:r>
              <w:rPr>
                <w:sz w:val="20"/>
                <w:szCs w:val="20"/>
              </w:rPr>
              <w:t>~44%</w:t>
            </w:r>
          </w:p>
        </w:tc>
        <w:tc>
          <w:tcPr>
            <w:tcW w:w="2055" w:type="dxa"/>
          </w:tcPr>
          <w:p w14:paraId="411A64D8" w14:textId="77777777" w:rsidR="008D0767" w:rsidRDefault="00226115">
            <w:pPr>
              <w:spacing w:before="60" w:after="60" w:line="360" w:lineRule="auto"/>
              <w:jc w:val="center"/>
            </w:pPr>
            <w:r>
              <w:rPr>
                <w:sz w:val="20"/>
                <w:szCs w:val="20"/>
              </w:rPr>
              <w:t>~56%</w:t>
            </w:r>
          </w:p>
        </w:tc>
      </w:tr>
    </w:tbl>
    <w:p w14:paraId="24316D47" w14:textId="77777777" w:rsidR="000F34B4" w:rsidRDefault="000F34B4" w:rsidP="000F34B4">
      <w:pPr>
        <w:spacing w:before="120" w:after="160"/>
        <w:jc w:val="both"/>
        <w:rPr>
          <w:b/>
          <w:bCs/>
          <w:i/>
          <w:iCs/>
        </w:rPr>
      </w:pPr>
    </w:p>
    <w:p w14:paraId="2390B04C" w14:textId="5BFA162C" w:rsidR="008D0767" w:rsidRPr="000F34B4" w:rsidRDefault="006A200A" w:rsidP="000F34B4">
      <w:pPr>
        <w:spacing w:before="120" w:after="160"/>
        <w:jc w:val="both"/>
      </w:pPr>
      <w:r w:rsidRPr="000F34B4">
        <w:rPr>
          <w:b/>
          <w:bCs/>
        </w:rPr>
        <w:lastRenderedPageBreak/>
        <w:t xml:space="preserve">Strategic takeaway: </w:t>
      </w:r>
      <w:r w:rsidRPr="000F34B4">
        <w:t>For utilities, charging-network operators, and OEM investment committees, the 390-fold rise in public charging points is the more important number in this section, not the oil-price swings. It marks the point where infrastructure, rather than fuel economics, becomes the lever governments and companies can actually pull to shape how fast adoption moves — which reframes charger build-out as a growth investment rather than a cost line.</w:t>
      </w:r>
    </w:p>
    <w:p w14:paraId="00C807D7" w14:textId="77777777" w:rsidR="008D0767" w:rsidRDefault="00226115">
      <w:pPr>
        <w:pStyle w:val="Heading2"/>
        <w:spacing w:before="200" w:after="100"/>
      </w:pPr>
      <w:r>
        <w:rPr>
          <w:b/>
          <w:bCs/>
          <w:sz w:val="24"/>
          <w:szCs w:val="24"/>
        </w:rPr>
        <w:t>7.2 ARIMA Forecast: Alignment and Limitations</w:t>
      </w:r>
    </w:p>
    <w:p w14:paraId="14E16760" w14:textId="77777777" w:rsidR="008D0767" w:rsidRDefault="00226115">
      <w:pPr>
        <w:spacing w:after="120"/>
        <w:jc w:val="both"/>
      </w:pPr>
      <w:r>
        <w:t>ARIMA fits the 2010–2023 data well (R² = 0.998), and its 2035 forecast aligns closely with the IEA's Stated Policies Scenario at 63–70 million cumulative EV sales — appearing at first glance like two independent methods reaching the same conclusion.</w:t>
      </w:r>
    </w:p>
    <w:p w14:paraId="26477E0F" w14:textId="77777777" w:rsidR="008D0767" w:rsidRDefault="584F4E83">
      <w:pPr>
        <w:spacing w:after="120"/>
        <w:jc w:val="both"/>
      </w:pPr>
      <w:r>
        <w:t>It is not. Both ARIMA and the IEA STEPS projection extrapolate from historical trends. Neither encodes oil price or charging infrastructure as explicit inputs. Neither can answer the question: what happens to EV sales if oil drops to $50 in 2027 because of a global slowdown? The convergence between ARIMA and IEA STEPS reflects shared methodology, not independent corroboration. Figure 2 shows the overlap.</w:t>
      </w:r>
    </w:p>
    <w:p w14:paraId="1FBBBC90" w14:textId="77777777" w:rsidR="584F4E83" w:rsidRDefault="584F4E83" w:rsidP="584F4E83">
      <w:pPr>
        <w:spacing w:after="120"/>
        <w:jc w:val="center"/>
      </w:pPr>
      <w:r>
        <w:rPr>
          <w:noProof/>
        </w:rPr>
        <w:drawing>
          <wp:inline distT="0" distB="0" distL="0" distR="0" wp14:anchorId="6D490B6B" wp14:editId="5CA53F7A">
            <wp:extent cx="5524500" cy="2667000"/>
            <wp:effectExtent l="0" t="0" r="0" b="0"/>
            <wp:docPr id="41773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3687" name="Picture 41773687"/>
                    <pic:cNvPicPr/>
                  </pic:nvPicPr>
                  <pic:blipFill>
                    <a:blip r:embed="rId8">
                      <a:extLst>
                        <a:ext uri="{28A0092B-C50C-407E-A947-70E740481C1C}">
                          <a14:useLocalDpi xmlns:a14="http://schemas.microsoft.com/office/drawing/2010/main"/>
                        </a:ext>
                      </a:extLst>
                    </a:blip>
                    <a:stretch>
                      <a:fillRect/>
                    </a:stretch>
                  </pic:blipFill>
                  <pic:spPr>
                    <a:xfrm>
                      <a:off x="0" y="0"/>
                      <a:ext cx="5524500" cy="2667000"/>
                    </a:xfrm>
                    <a:prstGeom prst="rect">
                      <a:avLst/>
                    </a:prstGeom>
                  </pic:spPr>
                </pic:pic>
              </a:graphicData>
            </a:graphic>
          </wp:inline>
        </w:drawing>
      </w:r>
    </w:p>
    <w:p w14:paraId="003D9780" w14:textId="77777777" w:rsidR="008D0767" w:rsidRDefault="584F4E83" w:rsidP="584F4E83">
      <w:pPr>
        <w:spacing w:after="80"/>
        <w:jc w:val="center"/>
      </w:pPr>
      <w:r>
        <w:rPr>
          <w:i/>
          <w:iCs/>
        </w:rPr>
        <w:t xml:space="preserve">Figure 2: ARIMA vs Polynomial Regression vs IEA STEPS Projections (2010–2035). </w:t>
      </w:r>
    </w:p>
    <w:p w14:paraId="55E9C7A7" w14:textId="77777777" w:rsidR="008D0767" w:rsidRDefault="584F4E83" w:rsidP="00562E85">
      <w:pPr>
        <w:spacing w:after="80"/>
        <w:jc w:val="both"/>
      </w:pPr>
      <w:r>
        <w:rPr>
          <w:i/>
          <w:iCs/>
        </w:rPr>
        <w:lastRenderedPageBreak/>
        <w:t>ARIMA forecast (R² = 0.998) closely tracks the IEA STEPS official target through 2035, projecting ~63–70M cumulative EV sales. The alignment with the IEA baseline appears compelling but masks critical structural omissions.</w:t>
      </w:r>
    </w:p>
    <w:p w14:paraId="049D3212" w14:textId="77777777" w:rsidR="00363566" w:rsidRPr="000F34B4" w:rsidRDefault="006A200A">
      <w:pPr>
        <w:spacing w:before="120" w:after="160"/>
        <w:jc w:val="both"/>
      </w:pPr>
      <w:r w:rsidRPr="000F34B4">
        <w:rPr>
          <w:b/>
          <w:bCs/>
        </w:rPr>
        <w:t xml:space="preserve">Why this matters for planning: </w:t>
      </w:r>
      <w:r w:rsidRPr="000F34B4">
        <w:t>A forecast that cannot answer “what happens if oil drops to $50” is not useful to a finance ministry building a five-year infrastructure budget, or to an OEM deciding how many EV production lines to commission. This is the practical case for the multi-feature models used in Section 7.3: they turn a descriptive number into a decision-support tool.</w:t>
      </w:r>
    </w:p>
    <w:p w14:paraId="1D967EEF" w14:textId="77777777" w:rsidR="008D0767" w:rsidRDefault="00226115">
      <w:pPr>
        <w:pStyle w:val="Heading2"/>
        <w:spacing w:before="200" w:after="100"/>
      </w:pPr>
      <w:r>
        <w:rPr>
          <w:b/>
          <w:bCs/>
          <w:sz w:val="24"/>
          <w:szCs w:val="24"/>
        </w:rPr>
        <w:t>7.3 Multi-Model EV Sales Forecast (2024–2030)</w:t>
      </w:r>
    </w:p>
    <w:p w14:paraId="3190589D" w14:textId="77777777" w:rsidR="008D0767" w:rsidRDefault="00226115">
      <w:pPr>
        <w:spacing w:after="120"/>
        <w:jc w:val="both"/>
      </w:pPr>
      <w:r>
        <w:t>Four models were trained on the same dataset. XGBoost, tuned across 243 hyperparameter combinations via GridSearchCV, produced the most economically plausible forward projections: 16.7 million units in 2024, rising to 41.4 million by 2030. That range aligns with the IEA's high-adoption scenario and is driven by the model's sensitivity to both oil price and charger deployment assumptions.</w:t>
      </w:r>
    </w:p>
    <w:p w14:paraId="09A444F2" w14:textId="77777777" w:rsidR="008D0767" w:rsidRDefault="584F4E83" w:rsidP="584F4E83">
      <w:pPr>
        <w:spacing w:after="120"/>
        <w:jc w:val="both"/>
      </w:pPr>
      <w:r>
        <w:t xml:space="preserve">Polynomial Regression fit perfectly but collapsed beyond 2023 — a well-documented failure mode of high-degree extrapolation, included here to illustrate that risk. Random Forest plateaued at 10.7–11.9 million, a useful lower bound. KNN produced a slight declining trend, </w:t>
      </w:r>
      <w:r>
        <w:lastRenderedPageBreak/>
        <w:t>reflecting its inability to extrapolate. Figure 3 shows all four.</w:t>
      </w:r>
      <w:r>
        <w:rPr>
          <w:noProof/>
        </w:rPr>
        <w:drawing>
          <wp:inline distT="0" distB="0" distL="0" distR="0" wp14:anchorId="263EC26D" wp14:editId="5BCD1DA9">
            <wp:extent cx="5524500" cy="3429000"/>
            <wp:effectExtent l="0" t="0" r="0" b="0"/>
            <wp:docPr id="1406314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14563" name="Picture 1406314563"/>
                    <pic:cNvPicPr/>
                  </pic:nvPicPr>
                  <pic:blipFill>
                    <a:blip r:embed="rId9">
                      <a:extLst>
                        <a:ext uri="{28A0092B-C50C-407E-A947-70E740481C1C}">
                          <a14:useLocalDpi xmlns:a14="http://schemas.microsoft.com/office/drawing/2010/main"/>
                        </a:ext>
                      </a:extLst>
                    </a:blip>
                    <a:stretch>
                      <a:fillRect/>
                    </a:stretch>
                  </pic:blipFill>
                  <pic:spPr>
                    <a:xfrm>
                      <a:off x="0" y="0"/>
                      <a:ext cx="5524500" cy="3429000"/>
                    </a:xfrm>
                    <a:prstGeom prst="rect">
                      <a:avLst/>
                    </a:prstGeom>
                  </pic:spPr>
                </pic:pic>
              </a:graphicData>
            </a:graphic>
          </wp:inline>
        </w:drawing>
      </w:r>
    </w:p>
    <w:p w14:paraId="7DF5BD72" w14:textId="77777777" w:rsidR="00562E85" w:rsidRDefault="584F4E83" w:rsidP="584F4E83">
      <w:pPr>
        <w:spacing w:after="80"/>
        <w:jc w:val="center"/>
        <w:rPr>
          <w:i/>
          <w:iCs/>
        </w:rPr>
      </w:pPr>
      <w:r>
        <w:rPr>
          <w:i/>
          <w:iCs/>
        </w:rPr>
        <w:t xml:space="preserve">Figure 3: Multi-Model EV Sales Forecast 2024–2030. </w:t>
      </w:r>
    </w:p>
    <w:p w14:paraId="5771ADD5" w14:textId="77777777" w:rsidR="008D0767" w:rsidRDefault="584F4E83" w:rsidP="00562E85">
      <w:pPr>
        <w:spacing w:after="80"/>
      </w:pPr>
      <w:r>
        <w:rPr>
          <w:i/>
          <w:iCs/>
        </w:rPr>
        <w:t xml:space="preserve">Top-left: Polynomial Regression (catastrophic extrapolation). </w:t>
      </w:r>
    </w:p>
    <w:p w14:paraId="3F26A21D" w14:textId="77777777" w:rsidR="00174A77" w:rsidRDefault="584F4E83">
      <w:pPr>
        <w:spacing w:after="80"/>
        <w:jc w:val="both"/>
        <w:rPr>
          <w:i/>
          <w:iCs/>
        </w:rPr>
      </w:pPr>
      <w:r>
        <w:rPr>
          <w:i/>
          <w:iCs/>
        </w:rPr>
        <w:t>Top-right: Hypertuned XGBoost (~16.71–41.8M, steep rise).</w:t>
      </w:r>
    </w:p>
    <w:p w14:paraId="4826154A" w14:textId="77777777" w:rsidR="00562E85" w:rsidRDefault="584F4E83">
      <w:pPr>
        <w:spacing w:after="80"/>
        <w:jc w:val="both"/>
        <w:rPr>
          <w:i/>
          <w:iCs/>
        </w:rPr>
      </w:pPr>
      <w:r>
        <w:rPr>
          <w:i/>
          <w:iCs/>
        </w:rPr>
        <w:t xml:space="preserve"> Bottom-left: Random Forest (~10.7–11.9M range). </w:t>
      </w:r>
    </w:p>
    <w:p w14:paraId="780BA127" w14:textId="77777777" w:rsidR="008D0767" w:rsidRDefault="584F4E83" w:rsidP="00562E85">
      <w:pPr>
        <w:spacing w:after="80"/>
        <w:jc w:val="both"/>
      </w:pPr>
      <w:r>
        <w:rPr>
          <w:i/>
          <w:iCs/>
        </w:rPr>
        <w:t>Bottom-right: KNN k=3 (~10.5–11.9M declining).</w:t>
      </w:r>
    </w:p>
    <w:p w14:paraId="71325D3C" w14:textId="77777777" w:rsidR="00C53B94" w:rsidRDefault="00C53B94" w:rsidP="584F4E83">
      <w:pPr>
        <w:spacing w:before="120" w:after="60"/>
        <w:rPr>
          <w:b/>
          <w:bCs/>
          <w:i/>
          <w:iCs/>
        </w:rPr>
      </w:pPr>
    </w:p>
    <w:p w14:paraId="342FC19B" w14:textId="77777777" w:rsidR="008D0767" w:rsidRDefault="00226115">
      <w:pPr>
        <w:spacing w:before="120" w:after="60"/>
      </w:pPr>
      <w:r>
        <w:rPr>
          <w:b/>
          <w:bCs/>
          <w:i/>
          <w:iCs/>
        </w:rPr>
        <w:t>Table 2: Multi-Model Performance Comparison</w:t>
      </w:r>
    </w:p>
    <w:tbl>
      <w:tblPr>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500"/>
        <w:gridCol w:w="1100"/>
        <w:gridCol w:w="1815"/>
        <w:gridCol w:w="2320"/>
      </w:tblGrid>
      <w:tr w:rsidR="008D0767" w14:paraId="23BDAF1C" w14:textId="77777777" w:rsidTr="584F4E83">
        <w:trPr>
          <w:tblHeader/>
        </w:trPr>
        <w:tc>
          <w:tcPr>
            <w:tcW w:w="1900" w:type="dxa"/>
            <w:shd w:val="clear" w:color="auto" w:fill="D9D9D9" w:themeFill="background1" w:themeFillShade="D9"/>
          </w:tcPr>
          <w:p w14:paraId="2723260F" w14:textId="77777777" w:rsidR="008D0767" w:rsidRDefault="00226115">
            <w:pPr>
              <w:spacing w:before="60" w:after="60" w:line="360" w:lineRule="auto"/>
              <w:jc w:val="center"/>
            </w:pPr>
            <w:r>
              <w:rPr>
                <w:b/>
                <w:bCs/>
                <w:sz w:val="20"/>
                <w:szCs w:val="20"/>
              </w:rPr>
              <w:t>Model</w:t>
            </w:r>
          </w:p>
        </w:tc>
        <w:tc>
          <w:tcPr>
            <w:tcW w:w="1500" w:type="dxa"/>
            <w:shd w:val="clear" w:color="auto" w:fill="D9D9D9" w:themeFill="background1" w:themeFillShade="D9"/>
          </w:tcPr>
          <w:p w14:paraId="0A77E39F" w14:textId="77777777" w:rsidR="008D0767" w:rsidRDefault="00226115">
            <w:pPr>
              <w:spacing w:before="60" w:after="60" w:line="360" w:lineRule="auto"/>
              <w:jc w:val="center"/>
            </w:pPr>
            <w:r>
              <w:rPr>
                <w:b/>
                <w:bCs/>
                <w:sz w:val="20"/>
                <w:szCs w:val="20"/>
              </w:rPr>
              <w:t>R² (Training)</w:t>
            </w:r>
          </w:p>
        </w:tc>
        <w:tc>
          <w:tcPr>
            <w:tcW w:w="1100" w:type="dxa"/>
            <w:shd w:val="clear" w:color="auto" w:fill="D9D9D9" w:themeFill="background1" w:themeFillShade="D9"/>
          </w:tcPr>
          <w:p w14:paraId="3463F9E5" w14:textId="77777777" w:rsidR="008D0767" w:rsidRDefault="00226115">
            <w:pPr>
              <w:spacing w:before="60" w:after="60" w:line="360" w:lineRule="auto"/>
              <w:jc w:val="center"/>
            </w:pPr>
            <w:r>
              <w:rPr>
                <w:b/>
                <w:bCs/>
                <w:sz w:val="20"/>
                <w:szCs w:val="20"/>
              </w:rPr>
              <w:t>MAPE</w:t>
            </w:r>
          </w:p>
        </w:tc>
        <w:tc>
          <w:tcPr>
            <w:tcW w:w="1815" w:type="dxa"/>
            <w:shd w:val="clear" w:color="auto" w:fill="D9D9D9" w:themeFill="background1" w:themeFillShade="D9"/>
          </w:tcPr>
          <w:p w14:paraId="7A768354" w14:textId="77777777" w:rsidR="008D0767" w:rsidRDefault="00226115">
            <w:pPr>
              <w:spacing w:before="60" w:after="60" w:line="360" w:lineRule="auto"/>
              <w:jc w:val="center"/>
            </w:pPr>
            <w:r>
              <w:rPr>
                <w:b/>
                <w:bCs/>
                <w:sz w:val="20"/>
                <w:szCs w:val="20"/>
              </w:rPr>
              <w:t>2030 Forecast</w:t>
            </w:r>
          </w:p>
        </w:tc>
        <w:tc>
          <w:tcPr>
            <w:tcW w:w="2320" w:type="dxa"/>
            <w:shd w:val="clear" w:color="auto" w:fill="D9D9D9" w:themeFill="background1" w:themeFillShade="D9"/>
          </w:tcPr>
          <w:p w14:paraId="2F99361C" w14:textId="77777777" w:rsidR="008D0767" w:rsidRDefault="00226115">
            <w:pPr>
              <w:spacing w:before="60" w:after="60" w:line="360" w:lineRule="auto"/>
              <w:jc w:val="center"/>
            </w:pPr>
            <w:r>
              <w:rPr>
                <w:b/>
                <w:bCs/>
                <w:sz w:val="20"/>
                <w:szCs w:val="20"/>
              </w:rPr>
              <w:t>Verdict</w:t>
            </w:r>
          </w:p>
        </w:tc>
      </w:tr>
      <w:tr w:rsidR="008D0767" w14:paraId="2C8D1D0B" w14:textId="77777777" w:rsidTr="584F4E83">
        <w:tc>
          <w:tcPr>
            <w:tcW w:w="1900" w:type="dxa"/>
          </w:tcPr>
          <w:p w14:paraId="3EF37DF8" w14:textId="77777777" w:rsidR="008D0767" w:rsidRDefault="00226115">
            <w:pPr>
              <w:spacing w:before="60" w:after="60" w:line="360" w:lineRule="auto"/>
              <w:jc w:val="center"/>
            </w:pPr>
            <w:r>
              <w:rPr>
                <w:sz w:val="20"/>
                <w:szCs w:val="20"/>
              </w:rPr>
              <w:t>XGBoost (Tuned)</w:t>
            </w:r>
          </w:p>
        </w:tc>
        <w:tc>
          <w:tcPr>
            <w:tcW w:w="1500" w:type="dxa"/>
          </w:tcPr>
          <w:p w14:paraId="1E3460CC" w14:textId="77777777" w:rsidR="008D0767" w:rsidRDefault="00226115">
            <w:pPr>
              <w:spacing w:before="60" w:after="60" w:line="360" w:lineRule="auto"/>
              <w:jc w:val="center"/>
            </w:pPr>
            <w:r>
              <w:rPr>
                <w:sz w:val="20"/>
                <w:szCs w:val="20"/>
              </w:rPr>
              <w:t>1.0000</w:t>
            </w:r>
          </w:p>
        </w:tc>
        <w:tc>
          <w:tcPr>
            <w:tcW w:w="1100" w:type="dxa"/>
          </w:tcPr>
          <w:p w14:paraId="5A723372" w14:textId="77777777" w:rsidR="008D0767" w:rsidRDefault="00226115">
            <w:pPr>
              <w:spacing w:before="60" w:after="60" w:line="360" w:lineRule="auto"/>
              <w:jc w:val="center"/>
            </w:pPr>
            <w:r>
              <w:rPr>
                <w:sz w:val="20"/>
                <w:szCs w:val="20"/>
              </w:rPr>
              <w:t>~0.00%</w:t>
            </w:r>
          </w:p>
        </w:tc>
        <w:tc>
          <w:tcPr>
            <w:tcW w:w="1815" w:type="dxa"/>
          </w:tcPr>
          <w:p w14:paraId="6A2C853D" w14:textId="77777777" w:rsidR="008D0767" w:rsidRDefault="00226115">
            <w:pPr>
              <w:spacing w:before="60" w:after="60" w:line="360" w:lineRule="auto"/>
              <w:jc w:val="center"/>
            </w:pPr>
            <w:r>
              <w:rPr>
                <w:sz w:val="20"/>
                <w:szCs w:val="20"/>
              </w:rPr>
              <w:t>41.4M units</w:t>
            </w:r>
          </w:p>
        </w:tc>
        <w:tc>
          <w:tcPr>
            <w:tcW w:w="2320" w:type="dxa"/>
          </w:tcPr>
          <w:p w14:paraId="4900536B" w14:textId="77777777" w:rsidR="008D0767" w:rsidRDefault="00226115">
            <w:pPr>
              <w:spacing w:before="60" w:after="60" w:line="360" w:lineRule="auto"/>
              <w:jc w:val="center"/>
            </w:pPr>
            <w:r>
              <w:rPr>
                <w:sz w:val="20"/>
                <w:szCs w:val="20"/>
              </w:rPr>
              <w:t>Best Model</w:t>
            </w:r>
          </w:p>
        </w:tc>
      </w:tr>
      <w:tr w:rsidR="008D0767" w14:paraId="3BF482DF" w14:textId="77777777" w:rsidTr="584F4E83">
        <w:tc>
          <w:tcPr>
            <w:tcW w:w="1900" w:type="dxa"/>
          </w:tcPr>
          <w:p w14:paraId="3C9FFB6C" w14:textId="77777777" w:rsidR="008D0767" w:rsidRDefault="00226115">
            <w:pPr>
              <w:spacing w:before="60" w:after="60" w:line="360" w:lineRule="auto"/>
              <w:jc w:val="center"/>
            </w:pPr>
            <w:r>
              <w:rPr>
                <w:sz w:val="20"/>
                <w:szCs w:val="20"/>
              </w:rPr>
              <w:t>Polynomial Reg (deg=3)</w:t>
            </w:r>
          </w:p>
        </w:tc>
        <w:tc>
          <w:tcPr>
            <w:tcW w:w="1500" w:type="dxa"/>
          </w:tcPr>
          <w:p w14:paraId="607D4290" w14:textId="77777777" w:rsidR="008D0767" w:rsidRDefault="00226115">
            <w:pPr>
              <w:spacing w:before="60" w:after="60" w:line="360" w:lineRule="auto"/>
              <w:jc w:val="center"/>
            </w:pPr>
            <w:r>
              <w:rPr>
                <w:sz w:val="20"/>
                <w:szCs w:val="20"/>
              </w:rPr>
              <w:t>1.0000</w:t>
            </w:r>
          </w:p>
        </w:tc>
        <w:tc>
          <w:tcPr>
            <w:tcW w:w="1100" w:type="dxa"/>
          </w:tcPr>
          <w:p w14:paraId="406F7078" w14:textId="77777777" w:rsidR="008D0767" w:rsidRDefault="00226115">
            <w:pPr>
              <w:spacing w:before="60" w:after="60" w:line="360" w:lineRule="auto"/>
              <w:jc w:val="center"/>
            </w:pPr>
            <w:r>
              <w:rPr>
                <w:sz w:val="20"/>
                <w:szCs w:val="20"/>
              </w:rPr>
              <w:t>~0.00%</w:t>
            </w:r>
          </w:p>
        </w:tc>
        <w:tc>
          <w:tcPr>
            <w:tcW w:w="1815" w:type="dxa"/>
          </w:tcPr>
          <w:p w14:paraId="0E3A837D" w14:textId="77777777" w:rsidR="008D0767" w:rsidRDefault="00226115">
            <w:pPr>
              <w:spacing w:before="60" w:after="60" w:line="360" w:lineRule="auto"/>
              <w:jc w:val="center"/>
            </w:pPr>
            <w:r>
              <w:rPr>
                <w:sz w:val="20"/>
                <w:szCs w:val="20"/>
              </w:rPr>
              <w:t>Diverges to 10³⁵</w:t>
            </w:r>
          </w:p>
        </w:tc>
        <w:tc>
          <w:tcPr>
            <w:tcW w:w="2320" w:type="dxa"/>
          </w:tcPr>
          <w:p w14:paraId="75D3085B" w14:textId="77777777" w:rsidR="008D0767" w:rsidRDefault="00226115">
            <w:pPr>
              <w:spacing w:before="60" w:after="60" w:line="360" w:lineRule="auto"/>
              <w:jc w:val="center"/>
            </w:pPr>
            <w:r>
              <w:rPr>
                <w:sz w:val="20"/>
                <w:szCs w:val="20"/>
              </w:rPr>
              <w:t>Historical only</w:t>
            </w:r>
          </w:p>
        </w:tc>
      </w:tr>
      <w:tr w:rsidR="008D0767" w14:paraId="53458D28" w14:textId="77777777" w:rsidTr="584F4E83">
        <w:tc>
          <w:tcPr>
            <w:tcW w:w="1900" w:type="dxa"/>
          </w:tcPr>
          <w:p w14:paraId="2E4D6993" w14:textId="77777777" w:rsidR="008D0767" w:rsidRDefault="00226115">
            <w:pPr>
              <w:spacing w:before="60" w:after="60" w:line="360" w:lineRule="auto"/>
              <w:jc w:val="center"/>
            </w:pPr>
            <w:r>
              <w:rPr>
                <w:sz w:val="20"/>
                <w:szCs w:val="20"/>
              </w:rPr>
              <w:t>Random Forest</w:t>
            </w:r>
          </w:p>
        </w:tc>
        <w:tc>
          <w:tcPr>
            <w:tcW w:w="1500" w:type="dxa"/>
          </w:tcPr>
          <w:p w14:paraId="6AD7E798" w14:textId="77777777" w:rsidR="008D0767" w:rsidRDefault="00226115">
            <w:pPr>
              <w:spacing w:before="60" w:after="60" w:line="360" w:lineRule="auto"/>
              <w:jc w:val="center"/>
            </w:pPr>
            <w:r>
              <w:rPr>
                <w:sz w:val="20"/>
                <w:szCs w:val="20"/>
              </w:rPr>
              <w:t>0.9753</w:t>
            </w:r>
          </w:p>
        </w:tc>
        <w:tc>
          <w:tcPr>
            <w:tcW w:w="1100" w:type="dxa"/>
          </w:tcPr>
          <w:p w14:paraId="77DC9F16" w14:textId="77777777" w:rsidR="008D0767" w:rsidRDefault="00226115">
            <w:pPr>
              <w:spacing w:before="60" w:after="60" w:line="360" w:lineRule="auto"/>
              <w:jc w:val="center"/>
            </w:pPr>
            <w:r>
              <w:rPr>
                <w:sz w:val="20"/>
                <w:szCs w:val="20"/>
              </w:rPr>
              <w:t>24.62%</w:t>
            </w:r>
          </w:p>
        </w:tc>
        <w:tc>
          <w:tcPr>
            <w:tcW w:w="1815" w:type="dxa"/>
          </w:tcPr>
          <w:p w14:paraId="65D00C58" w14:textId="77777777" w:rsidR="008D0767" w:rsidRDefault="00226115">
            <w:pPr>
              <w:spacing w:before="60" w:after="60" w:line="360" w:lineRule="auto"/>
              <w:jc w:val="center"/>
            </w:pPr>
            <w:r>
              <w:rPr>
                <w:sz w:val="20"/>
                <w:szCs w:val="20"/>
              </w:rPr>
              <w:t>10.7–11.9M units</w:t>
            </w:r>
          </w:p>
        </w:tc>
        <w:tc>
          <w:tcPr>
            <w:tcW w:w="2320" w:type="dxa"/>
          </w:tcPr>
          <w:p w14:paraId="797687D2" w14:textId="77777777" w:rsidR="008D0767" w:rsidRDefault="00226115">
            <w:pPr>
              <w:spacing w:before="60" w:after="60" w:line="360" w:lineRule="auto"/>
              <w:jc w:val="center"/>
            </w:pPr>
            <w:r>
              <w:rPr>
                <w:sz w:val="20"/>
                <w:szCs w:val="20"/>
              </w:rPr>
              <w:t>Conservative baseline</w:t>
            </w:r>
          </w:p>
        </w:tc>
      </w:tr>
      <w:tr w:rsidR="008D0767" w14:paraId="065E137B" w14:textId="77777777" w:rsidTr="584F4E83">
        <w:tc>
          <w:tcPr>
            <w:tcW w:w="1900" w:type="dxa"/>
          </w:tcPr>
          <w:p w14:paraId="2E4519C3" w14:textId="77777777" w:rsidR="008D0767" w:rsidRDefault="00226115">
            <w:pPr>
              <w:spacing w:before="60" w:after="60" w:line="360" w:lineRule="auto"/>
              <w:jc w:val="center"/>
            </w:pPr>
            <w:r>
              <w:rPr>
                <w:sz w:val="20"/>
                <w:szCs w:val="20"/>
              </w:rPr>
              <w:t>KNN (k=3)</w:t>
            </w:r>
          </w:p>
        </w:tc>
        <w:tc>
          <w:tcPr>
            <w:tcW w:w="1500" w:type="dxa"/>
          </w:tcPr>
          <w:p w14:paraId="2BFA2CB3" w14:textId="77777777" w:rsidR="008D0767" w:rsidRDefault="00226115">
            <w:pPr>
              <w:spacing w:before="60" w:after="60" w:line="360" w:lineRule="auto"/>
              <w:jc w:val="center"/>
            </w:pPr>
            <w:r>
              <w:rPr>
                <w:sz w:val="20"/>
                <w:szCs w:val="20"/>
              </w:rPr>
              <w:t>1.0000</w:t>
            </w:r>
          </w:p>
        </w:tc>
        <w:tc>
          <w:tcPr>
            <w:tcW w:w="1100" w:type="dxa"/>
          </w:tcPr>
          <w:p w14:paraId="3791A738" w14:textId="77777777" w:rsidR="008D0767" w:rsidRDefault="00226115">
            <w:pPr>
              <w:spacing w:before="60" w:after="60" w:line="360" w:lineRule="auto"/>
              <w:jc w:val="center"/>
            </w:pPr>
            <w:r>
              <w:rPr>
                <w:sz w:val="20"/>
                <w:szCs w:val="20"/>
              </w:rPr>
              <w:t>~0.00%</w:t>
            </w:r>
          </w:p>
        </w:tc>
        <w:tc>
          <w:tcPr>
            <w:tcW w:w="1815" w:type="dxa"/>
          </w:tcPr>
          <w:p w14:paraId="69C8E12A" w14:textId="77777777" w:rsidR="008D0767" w:rsidRDefault="00226115">
            <w:pPr>
              <w:spacing w:before="60" w:after="60" w:line="360" w:lineRule="auto"/>
              <w:jc w:val="center"/>
            </w:pPr>
            <w:r>
              <w:rPr>
                <w:sz w:val="20"/>
                <w:szCs w:val="20"/>
              </w:rPr>
              <w:t>10.5M (declining)</w:t>
            </w:r>
          </w:p>
        </w:tc>
        <w:tc>
          <w:tcPr>
            <w:tcW w:w="2320" w:type="dxa"/>
          </w:tcPr>
          <w:p w14:paraId="5A72EF95" w14:textId="77777777" w:rsidR="008D0767" w:rsidRDefault="00226115">
            <w:pPr>
              <w:spacing w:before="60" w:after="60" w:line="360" w:lineRule="auto"/>
              <w:jc w:val="center"/>
            </w:pPr>
            <w:r>
              <w:rPr>
                <w:sz w:val="20"/>
                <w:szCs w:val="20"/>
              </w:rPr>
              <w:t>Pattern-matching only</w:t>
            </w:r>
          </w:p>
        </w:tc>
      </w:tr>
    </w:tbl>
    <w:p w14:paraId="621DFBD2" w14:textId="218C08A1" w:rsidR="00363566" w:rsidRPr="000F34B4" w:rsidRDefault="006A200A">
      <w:pPr>
        <w:spacing w:before="120" w:after="160"/>
        <w:jc w:val="both"/>
      </w:pPr>
      <w:r w:rsidRPr="000F34B4">
        <w:rPr>
          <w:b/>
          <w:bCs/>
        </w:rPr>
        <w:lastRenderedPageBreak/>
        <w:t xml:space="preserve">Strategic takeaway: </w:t>
      </w:r>
      <w:r w:rsidRPr="000F34B4">
        <w:t xml:space="preserve">The spread across these four models — from a conservative 10.7–11.9 million </w:t>
      </w:r>
      <w:r w:rsidR="000F34B4" w:rsidRPr="000F34B4">
        <w:t>floors</w:t>
      </w:r>
      <w:r w:rsidRPr="000F34B4">
        <w:t xml:space="preserve"> to a 41.4 million ceiling — is itself useful strategic information. It gives investors, battery manufacturers, and policymakers a defensible range for capacity planning rather than a single point estimate that hides its own uncertainty. Treating the XGBoost figure as a planning ceiling and the Random Forest figure as a floor is a more honest basis for capital allocation than any single model taken alone.</w:t>
      </w:r>
    </w:p>
    <w:p w14:paraId="33529296" w14:textId="77777777" w:rsidR="008D0767" w:rsidRDefault="008D0767"/>
    <w:p w14:paraId="01CE6288" w14:textId="77777777" w:rsidR="008D0767" w:rsidRDefault="00226115">
      <w:pPr>
        <w:pStyle w:val="Heading2"/>
        <w:spacing w:before="200" w:after="100"/>
      </w:pPr>
      <w:r>
        <w:rPr>
          <w:b/>
          <w:bCs/>
          <w:sz w:val="24"/>
          <w:szCs w:val="24"/>
        </w:rPr>
        <w:t>7.4 Country-Level Analysis: The China Effect</w:t>
      </w:r>
    </w:p>
    <w:p w14:paraId="65A6AD4E" w14:textId="77777777" w:rsidR="008D0767" w:rsidRDefault="584F4E83">
      <w:pPr>
        <w:spacing w:after="120"/>
        <w:jc w:val="both"/>
      </w:pPr>
      <w:r>
        <w:t xml:space="preserve">China holds about 56% of global EV sales, built on a 2015 policy commitment backed by USD 100 billion in infrastructure — BYD, NIO, and SAIC scaled under those conditions and are now competitive export brands. The USA is next: Tesla built the market from scratch, and the Inflation Reduction Act's $7,500 tax credit is pushing annual sales toward 2 million. Figures 4 and 5 show the country-by-country breakdown. </w:t>
      </w:r>
    </w:p>
    <w:p w14:paraId="4653887E" w14:textId="77777777" w:rsidR="584F4E83" w:rsidRDefault="584F4E83" w:rsidP="584F4E83">
      <w:pPr>
        <w:spacing w:after="120"/>
        <w:jc w:val="both"/>
      </w:pPr>
      <w:r>
        <w:rPr>
          <w:noProof/>
        </w:rPr>
        <w:drawing>
          <wp:inline distT="0" distB="0" distL="0" distR="0" wp14:anchorId="362E0074" wp14:editId="21D7E301">
            <wp:extent cx="5523455" cy="2286198"/>
            <wp:effectExtent l="0" t="0" r="0" b="0"/>
            <wp:docPr id="436724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24362" name="Picture 436724362"/>
                    <pic:cNvPicPr/>
                  </pic:nvPicPr>
                  <pic:blipFill>
                    <a:blip r:embed="rId10">
                      <a:extLst>
                        <a:ext uri="{28A0092B-C50C-407E-A947-70E740481C1C}">
                          <a14:useLocalDpi xmlns:a14="http://schemas.microsoft.com/office/drawing/2010/main"/>
                        </a:ext>
                      </a:extLst>
                    </a:blip>
                    <a:stretch>
                      <a:fillRect/>
                    </a:stretch>
                  </pic:blipFill>
                  <pic:spPr>
                    <a:xfrm>
                      <a:off x="0" y="0"/>
                      <a:ext cx="5523455" cy="2286198"/>
                    </a:xfrm>
                    <a:prstGeom prst="rect">
                      <a:avLst/>
                    </a:prstGeom>
                  </pic:spPr>
                </pic:pic>
              </a:graphicData>
            </a:graphic>
          </wp:inline>
        </w:drawing>
      </w:r>
    </w:p>
    <w:p w14:paraId="0DA81D9F" w14:textId="77777777" w:rsidR="584F4E83" w:rsidRDefault="584F4E83" w:rsidP="584F4E83">
      <w:pPr>
        <w:spacing w:after="80"/>
        <w:jc w:val="center"/>
      </w:pPr>
      <w:r>
        <w:rPr>
          <w:i/>
          <w:iCs/>
        </w:rPr>
        <w:t>Figure 4: Historical EV Sales Race Chart by Country (2010–2022).</w:t>
      </w:r>
    </w:p>
    <w:p w14:paraId="05851A0F" w14:textId="77777777" w:rsidR="584F4E83" w:rsidRDefault="584F4E83" w:rsidP="584F4E83">
      <w:pPr>
        <w:spacing w:after="80"/>
        <w:jc w:val="both"/>
      </w:pPr>
      <w:r>
        <w:rPr>
          <w:noProof/>
        </w:rPr>
        <w:lastRenderedPageBreak/>
        <w:drawing>
          <wp:inline distT="0" distB="0" distL="0" distR="0" wp14:anchorId="267F91CA" wp14:editId="701AEF41">
            <wp:extent cx="5524500" cy="2476500"/>
            <wp:effectExtent l="0" t="0" r="0" b="0"/>
            <wp:docPr id="1518067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67520" name="Picture 1518067520"/>
                    <pic:cNvPicPr/>
                  </pic:nvPicPr>
                  <pic:blipFill>
                    <a:blip r:embed="rId11">
                      <a:extLst>
                        <a:ext uri="{28A0092B-C50C-407E-A947-70E740481C1C}">
                          <a14:useLocalDpi xmlns:a14="http://schemas.microsoft.com/office/drawing/2010/main"/>
                        </a:ext>
                      </a:extLst>
                    </a:blip>
                    <a:stretch>
                      <a:fillRect/>
                    </a:stretch>
                  </pic:blipFill>
                  <pic:spPr>
                    <a:xfrm>
                      <a:off x="0" y="0"/>
                      <a:ext cx="5524500" cy="2476500"/>
                    </a:xfrm>
                    <a:prstGeom prst="rect">
                      <a:avLst/>
                    </a:prstGeom>
                  </pic:spPr>
                </pic:pic>
              </a:graphicData>
            </a:graphic>
          </wp:inline>
        </w:drawing>
      </w:r>
    </w:p>
    <w:p w14:paraId="5E4554E4" w14:textId="77777777" w:rsidR="008D0767" w:rsidRDefault="584F4E83" w:rsidP="584F4E83">
      <w:pPr>
        <w:spacing w:after="80"/>
        <w:jc w:val="center"/>
      </w:pPr>
      <w:r>
        <w:rPr>
          <w:i/>
          <w:iCs/>
        </w:rPr>
        <w:t xml:space="preserve">              Figure 5: EV Sales by Country vs. Total Global EV Sales (2010–2023).</w:t>
      </w:r>
    </w:p>
    <w:p w14:paraId="24D68572" w14:textId="77777777" w:rsidR="008D0767" w:rsidRDefault="008D0767"/>
    <w:p w14:paraId="54CA3F5A" w14:textId="77777777" w:rsidR="00363566" w:rsidRPr="000F34B4" w:rsidRDefault="006A200A">
      <w:pPr>
        <w:spacing w:before="120" w:after="160"/>
        <w:jc w:val="both"/>
      </w:pPr>
      <w:r w:rsidRPr="000F34B4">
        <w:rPr>
          <w:b/>
          <w:bCs/>
        </w:rPr>
        <w:t xml:space="preserve">Industry implication: </w:t>
      </w:r>
      <w:r w:rsidRPr="000F34B4">
        <w:t>China's trajectory is a case study in what coordinated public investment can do for a domestic industry: BYD, NIO, and SAIC did not scale on subsidy alone, they scaled because the charging network was built ahead of demand. For Indian manufacturers and for global OEMs weighing where to locate production, this is the closest available evidence of what a well-sequenced infrastructure push is worth in market share terms.</w:t>
      </w:r>
    </w:p>
    <w:p w14:paraId="6DED50D6" w14:textId="77777777" w:rsidR="008D0767" w:rsidRDefault="00226115">
      <w:pPr>
        <w:pStyle w:val="Heading2"/>
        <w:spacing w:before="200" w:after="100"/>
      </w:pPr>
      <w:r>
        <w:rPr>
          <w:b/>
          <w:bCs/>
          <w:sz w:val="24"/>
          <w:szCs w:val="24"/>
        </w:rPr>
        <w:t>7.5 Global EV Stock Share Distribution</w:t>
      </w:r>
    </w:p>
    <w:p w14:paraId="44430639" w14:textId="77777777" w:rsidR="008D0767" w:rsidRDefault="584F4E83">
      <w:pPr>
        <w:spacing w:after="120"/>
        <w:jc w:val="both"/>
      </w:pPr>
      <w:r>
        <w:t>Figure 6 shows EV stock share by country from 2010 to 2035. EU27 and China project the steepest growth; the confidence bands widen sharply after 2025. India sits near the bottom, with a real uptick from 2022, but the gap is large enough that closing it requires sustained deliberate investment, not organic growth.</w:t>
      </w:r>
    </w:p>
    <w:p w14:paraId="5A528283" w14:textId="77777777" w:rsidR="00363566" w:rsidRPr="000F34B4" w:rsidRDefault="006A200A">
      <w:pPr>
        <w:spacing w:before="120" w:after="160"/>
        <w:jc w:val="both"/>
      </w:pPr>
      <w:r w:rsidRPr="000F34B4">
        <w:rPr>
          <w:b/>
          <w:bCs/>
        </w:rPr>
        <w:t xml:space="preserve">The strategic window: </w:t>
      </w:r>
      <w:r w:rsidRPr="000F34B4">
        <w:t>Every year that India's charging build-out lags the leaders is a year in which petrol-vehicle fleets, fuel distribution networks, and consumer habits harden further, making the eventual transition slower and costlier. The remaining gap in Figure 6 is therefore best read not as a forecast of where India will end up, but as a measure of how much deliberate, near-term investment is needed to close it before the window narrows.</w:t>
      </w:r>
    </w:p>
    <w:p w14:paraId="2A65B235" w14:textId="77777777" w:rsidR="584F4E83" w:rsidRDefault="584F4E83" w:rsidP="584F4E83">
      <w:pPr>
        <w:spacing w:after="120"/>
        <w:jc w:val="both"/>
      </w:pPr>
      <w:r>
        <w:rPr>
          <w:noProof/>
        </w:rPr>
        <w:lastRenderedPageBreak/>
        <w:drawing>
          <wp:inline distT="0" distB="0" distL="0" distR="0" wp14:anchorId="43AD096B" wp14:editId="314085BD">
            <wp:extent cx="5334000" cy="3619500"/>
            <wp:effectExtent l="0" t="0" r="0" b="0"/>
            <wp:docPr id="1580689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89352" name="Picture 1580689352"/>
                    <pic:cNvPicPr/>
                  </pic:nvPicPr>
                  <pic:blipFill>
                    <a:blip r:embed="rId12">
                      <a:extLst>
                        <a:ext uri="{28A0092B-C50C-407E-A947-70E740481C1C}">
                          <a14:useLocalDpi xmlns:a14="http://schemas.microsoft.com/office/drawing/2010/main"/>
                        </a:ext>
                      </a:extLst>
                    </a:blip>
                    <a:stretch>
                      <a:fillRect/>
                    </a:stretch>
                  </pic:blipFill>
                  <pic:spPr>
                    <a:xfrm>
                      <a:off x="0" y="0"/>
                      <a:ext cx="5334000" cy="3619500"/>
                    </a:xfrm>
                    <a:prstGeom prst="rect">
                      <a:avLst/>
                    </a:prstGeom>
                  </pic:spPr>
                </pic:pic>
              </a:graphicData>
            </a:graphic>
          </wp:inline>
        </w:drawing>
      </w:r>
    </w:p>
    <w:p w14:paraId="645876DD" w14:textId="47E2C808" w:rsidR="584F4E83" w:rsidRDefault="584F4E83" w:rsidP="000F34B4">
      <w:pPr>
        <w:spacing w:after="80"/>
        <w:jc w:val="center"/>
        <w:rPr>
          <w:b/>
          <w:bCs/>
        </w:rPr>
      </w:pPr>
      <w:r>
        <w:rPr>
          <w:i/>
          <w:iCs/>
        </w:rPr>
        <w:t>Figure 6: Global EV Stock Share Distribution by Country (2010–2035 Projection).</w:t>
      </w:r>
    </w:p>
    <w:p w14:paraId="30D4D959" w14:textId="77777777" w:rsidR="008D0767" w:rsidRPr="00174A77" w:rsidRDefault="00226115">
      <w:pPr>
        <w:pStyle w:val="Heading1"/>
        <w:spacing w:before="240" w:after="120"/>
        <w:rPr>
          <w:sz w:val="28"/>
          <w:szCs w:val="28"/>
        </w:rPr>
      </w:pPr>
      <w:r>
        <w:rPr>
          <w:b/>
          <w:bCs/>
          <w:sz w:val="28"/>
          <w:szCs w:val="28"/>
        </w:rPr>
        <w:t>8. Discussions</w:t>
      </w:r>
    </w:p>
    <w:p w14:paraId="70A2F5BC" w14:textId="77777777" w:rsidR="008D0767" w:rsidRDefault="00226115">
      <w:pPr>
        <w:spacing w:after="120"/>
        <w:jc w:val="both"/>
      </w:pPr>
      <w:r>
        <w:t>The analysis in Section 7 points to a straightforward finding: electric vehicle market growth tracks infrastructure and oil price, not time alone. Most forecasting models, including the IEA's official scenarios, do not encode those drivers explicitly. The theoretical, industry, and policy implications that follow are discussed in turn below.</w:t>
      </w:r>
    </w:p>
    <w:p w14:paraId="36BA154C" w14:textId="77777777" w:rsidR="008D0767" w:rsidRDefault="00226115">
      <w:pPr>
        <w:pStyle w:val="Heading2"/>
        <w:spacing w:before="200" w:after="100"/>
      </w:pPr>
      <w:r>
        <w:rPr>
          <w:b/>
          <w:bCs/>
          <w:sz w:val="24"/>
          <w:szCs w:val="24"/>
        </w:rPr>
        <w:t>8.1 Theoretical Implications</w:t>
      </w:r>
    </w:p>
    <w:p w14:paraId="1BCFE2F2" w14:textId="77777777" w:rsidR="008D0767" w:rsidRDefault="00226115">
      <w:pPr>
        <w:spacing w:after="120"/>
        <w:jc w:val="both"/>
      </w:pPr>
      <w:r>
        <w:t xml:space="preserve">XGBoost outperformed ARIMA not because it is a better algorithm in the abstract, but because it was given better inputs. The charging point variable and the oil price variable carry real explanatory power. Stripping them out, as ARIMA does by design, removes the mechanism and leaves only the trend. For medium-horizon forecasting in markets with identifiable structural drivers, this matters. The result here adds to a growing body of work including Liu et al. (2022), Zhang et al. (2023), and Wang et al. (2024) suggesting that gradient boosting </w:t>
      </w:r>
      <w:r>
        <w:lastRenderedPageBreak/>
        <w:t>should replace ARIMA as the default for transport demand forecasting when feature-rich data is available.</w:t>
      </w:r>
    </w:p>
    <w:p w14:paraId="11422BB1" w14:textId="77777777" w:rsidR="008D0767" w:rsidRDefault="00226115">
      <w:pPr>
        <w:spacing w:after="120"/>
        <w:jc w:val="both"/>
      </w:pPr>
      <w:r>
        <w:t>Log-transforming the charging count improves fit substantially, reflecting a diminishing-returns dynamic (Bai et al., 2022; Gnann et al., 2018): the first 100,000 chargers move consumer confidence far more than the next million. India is still in the steep portion of that curve, meaning each unit of infrastructure investment generates a larger adoption effect than equivalent spending in China or Germany today.</w:t>
      </w:r>
    </w:p>
    <w:p w14:paraId="3292ED9C" w14:textId="77777777" w:rsidR="008D0767" w:rsidRDefault="00226115">
      <w:pPr>
        <w:pStyle w:val="Heading2"/>
        <w:spacing w:before="200" w:after="100"/>
      </w:pPr>
      <w:r>
        <w:rPr>
          <w:b/>
          <w:bCs/>
          <w:sz w:val="24"/>
          <w:szCs w:val="24"/>
        </w:rPr>
        <w:t>8.2 Managerial Implications</w:t>
      </w:r>
    </w:p>
    <w:p w14:paraId="49B23803" w14:textId="1EBC92CA" w:rsidR="008D0767" w:rsidRDefault="00226115">
      <w:pPr>
        <w:spacing w:after="120"/>
        <w:jc w:val="both"/>
      </w:pPr>
      <w:r>
        <w:t xml:space="preserve">The difference between XGBoost's 41.4 million unit forecast and Random Forest's </w:t>
      </w:r>
      <w:r w:rsidR="000F34B4">
        <w:t>10.7-million-unit</w:t>
      </w:r>
      <w:r>
        <w:t xml:space="preserve"> forecast is a factor of four. For an automaker deciding whether to invest in a new gigafactory, those two numbers imply very different build decisions. The key variables that drive the gap are oil price and charger deployment rate. Both are partially policy-dependent. An investment plan that does not model those variables explicitly is working without the information most likely to determine whether the decision is right.</w:t>
      </w:r>
    </w:p>
    <w:p w14:paraId="551BA9B9" w14:textId="77777777" w:rsidR="008D0767" w:rsidRDefault="00226115">
      <w:pPr>
        <w:spacing w:after="120"/>
        <w:jc w:val="both"/>
      </w:pPr>
      <w:r>
        <w:t>For companies in India, the 2-wheeler and 3-wheeler segments offer the clearest near-term case: cost-of-ownership parity is already reached, and the 3-wheeler market crossed 60% electric share in 2025 without direct subsidies (IEA, 2026). Consumer financing and charging access are the remaining friction — both solvable at relatively low cost. Companies that waited for the Chinese market to mature before entering generally found positions already taken (Singh &amp; Verma, 2024).</w:t>
      </w:r>
    </w:p>
    <w:p w14:paraId="214B07DC" w14:textId="77777777" w:rsidR="008D0767" w:rsidRDefault="00226115">
      <w:pPr>
        <w:pStyle w:val="Heading2"/>
        <w:spacing w:before="200" w:after="100"/>
      </w:pPr>
      <w:r>
        <w:rPr>
          <w:b/>
          <w:bCs/>
          <w:sz w:val="24"/>
          <w:szCs w:val="24"/>
        </w:rPr>
        <w:t>8.3 Social Implications</w:t>
      </w:r>
    </w:p>
    <w:p w14:paraId="56793ABE" w14:textId="77777777" w:rsidR="008D0767" w:rsidRDefault="00226115">
      <w:pPr>
        <w:spacing w:after="120"/>
        <w:jc w:val="both"/>
      </w:pPr>
      <w:r>
        <w:t xml:space="preserve">India's EV transition carries global implications. A large-scale shift would displace a material share of the 85% of crude India currently imports and anchor a domestic battery manufacturing base competitive internationally by the early 2030s. Within India, the largest immediate gains </w:t>
      </w:r>
      <w:r>
        <w:lastRenderedPageBreak/>
        <w:t>fall on those who need them most — people who depend on two-wheelers and autorickshaws for daily travel. Urban air quality in Delhi (India’s capital), Mumbai (the country’s financial centre), and Kolkata (eastern India) is a serious public health problem; vehicular emissions are among the leading contributors. An electric 2-wheeler fleet removes a meaningful share of that. The people most exposed to those emissions like autorickshaw drivers, delivery workers, daily commuters are also the people most likely to benefit from lower fuel costs per kilometre.</w:t>
      </w:r>
    </w:p>
    <w:p w14:paraId="03CF713B" w14:textId="77777777" w:rsidR="008D0767" w:rsidRDefault="00226115">
      <w:pPr>
        <w:spacing w:after="120"/>
        <w:jc w:val="both"/>
      </w:pPr>
      <w:r>
        <w:t>On the fiscal side, India spent more than USD 150 billion on crude oil imports in 2022–23. The UPI and Aadhaar infrastructure already exist to handle charging payments at scale, including for users without credit cards. That means India can deploy EV charging accessibly to informal economy workers from day one, rather than retrofitting inclusion later (Kapoor &amp; Patel, 2023; Narayanan et al., 2024).</w:t>
      </w:r>
    </w:p>
    <w:p w14:paraId="48378E9E" w14:textId="77777777" w:rsidR="008D0767" w:rsidRDefault="00226115">
      <w:pPr>
        <w:pStyle w:val="Heading2"/>
        <w:spacing w:before="200" w:after="100"/>
      </w:pPr>
      <w:r>
        <w:rPr>
          <w:b/>
          <w:bCs/>
          <w:sz w:val="24"/>
          <w:szCs w:val="24"/>
        </w:rPr>
        <w:t>8.4 Limitations of the Discussion</w:t>
      </w:r>
    </w:p>
    <w:p w14:paraId="1667275B" w14:textId="77777777" w:rsidR="008D0767" w:rsidRDefault="00226115">
      <w:pPr>
        <w:spacing w:after="120"/>
        <w:jc w:val="both"/>
      </w:pPr>
      <w:r>
        <w:t>Three caveats apply. First, the XGBoost vs. ARIMA comparison is really about feature availability, not algorithm superiority in the abstract. The claim is narrower: when oil price and infrastructure data carry real explanatory signal, a model that can use that signal outperforms one that cannot — on this dataset, not as a general ranking.</w:t>
      </w:r>
    </w:p>
    <w:p w14:paraId="0E5D8D60" w14:textId="25720111" w:rsidR="008D0767" w:rsidRDefault="00226115">
      <w:pPr>
        <w:spacing w:after="120"/>
        <w:jc w:val="both"/>
      </w:pPr>
      <w:r>
        <w:t xml:space="preserve">Second, treating the XGBoost and Random Forest outputs as a decision range is useful for communicating stakes, but in practice a capital allocation decision would want probabilistic confidence intervals rather than </w:t>
      </w:r>
      <w:r w:rsidR="000F34B4">
        <w:t>two-point</w:t>
      </w:r>
      <w:r>
        <w:t xml:space="preserve"> estimates.</w:t>
      </w:r>
    </w:p>
    <w:p w14:paraId="5848C80E" w14:textId="281FF2B3" w:rsidR="584F4E83" w:rsidRDefault="00226115" w:rsidP="000F34B4">
      <w:pPr>
        <w:spacing w:after="120"/>
        <w:jc w:val="both"/>
        <w:rPr>
          <w:b/>
          <w:bCs/>
        </w:rPr>
      </w:pPr>
      <w:r>
        <w:t>Third, the social and fiscal arguments in Section 8.3 are directionally supported by data, but the specific share of India's oil import reduction attributable to EV adoption alone is not modelled here; those figures are descriptive context, not causal attribution.</w:t>
      </w:r>
    </w:p>
    <w:p w14:paraId="7B2F9707" w14:textId="77777777" w:rsidR="00562E85" w:rsidRDefault="00562E85" w:rsidP="584F4E83">
      <w:pPr>
        <w:pStyle w:val="Heading1"/>
        <w:spacing w:before="240" w:after="120"/>
        <w:rPr>
          <w:b/>
          <w:bCs/>
          <w:sz w:val="24"/>
          <w:szCs w:val="24"/>
        </w:rPr>
      </w:pPr>
    </w:p>
    <w:p w14:paraId="6BC1CE7E" w14:textId="77777777" w:rsidR="584F4E83" w:rsidRDefault="584F4E83" w:rsidP="584F4E83">
      <w:pPr>
        <w:pStyle w:val="Heading1"/>
        <w:spacing w:before="240" w:after="120"/>
        <w:rPr>
          <w:b/>
          <w:bCs/>
          <w:sz w:val="24"/>
          <w:szCs w:val="24"/>
        </w:rPr>
      </w:pPr>
    </w:p>
    <w:p w14:paraId="051BA7CC" w14:textId="77777777" w:rsidR="008D0767" w:rsidRPr="00562E85" w:rsidRDefault="00226115" w:rsidP="000F34B4">
      <w:pPr>
        <w:pStyle w:val="Heading1"/>
        <w:spacing w:before="240" w:after="120"/>
        <w:jc w:val="both"/>
        <w:rPr>
          <w:sz w:val="28"/>
          <w:szCs w:val="28"/>
        </w:rPr>
      </w:pPr>
      <w:r>
        <w:rPr>
          <w:b/>
          <w:bCs/>
          <w:sz w:val="28"/>
          <w:szCs w:val="28"/>
        </w:rPr>
        <w:lastRenderedPageBreak/>
        <w:t>8.5 Implications for Organisational Decision-Making, Processes, and Performance</w:t>
      </w:r>
    </w:p>
    <w:p w14:paraId="1100DF81" w14:textId="77777777" w:rsidR="008D0767" w:rsidRDefault="00226115">
      <w:pPr>
        <w:spacing w:after="120"/>
        <w:jc w:val="both"/>
      </w:pPr>
      <w:r>
        <w:t>The findings of this study have direct implications for how organisations and industry actors can make better decisions, structure their internal processes, and measure the impact of those decisions over time.</w:t>
      </w:r>
    </w:p>
    <w:p w14:paraId="698B19A6" w14:textId="77777777" w:rsidR="008D0767" w:rsidRDefault="00226115">
      <w:pPr>
        <w:pStyle w:val="Heading2"/>
        <w:spacing w:before="200" w:after="100"/>
      </w:pPr>
      <w:r>
        <w:rPr>
          <w:b/>
          <w:bCs/>
          <w:sz w:val="24"/>
          <w:szCs w:val="24"/>
        </w:rPr>
        <w:t>8.5.1 How Organisations and Industry Can Use These Findings in Decision-Making</w:t>
      </w:r>
    </w:p>
    <w:p w14:paraId="1863E194" w14:textId="787F7CFA" w:rsidR="008D0767" w:rsidRDefault="00226115">
      <w:pPr>
        <w:spacing w:after="120"/>
        <w:jc w:val="both"/>
      </w:pPr>
      <w:r>
        <w:t xml:space="preserve">The primary value to organisations is a shift from point-estimate to scenario-based planning. The gap between XGBoost's </w:t>
      </w:r>
      <w:r w:rsidR="000F34B4">
        <w:t>41.4-million-unit</w:t>
      </w:r>
      <w:r>
        <w:t xml:space="preserve"> projection and Random Forest's </w:t>
      </w:r>
      <w:r w:rsidR="000F34B4">
        <w:t>10.7-million-unit</w:t>
      </w:r>
      <w:r>
        <w:t xml:space="preserve"> baseline is not noise — it reflects a real range of outcomes driven by two variables organisations can actually monitor: oil prices and charging infrastructure density. Any organisation making fleet, manufacturing, or infrastructure decisions against a single baseline forecast is missing the most consequential uncertainty in its market.</w:t>
      </w:r>
    </w:p>
    <w:p w14:paraId="4AD1B04C" w14:textId="77777777" w:rsidR="008D0767" w:rsidRDefault="00226115">
      <w:pPr>
        <w:spacing w:after="120"/>
        <w:jc w:val="both"/>
      </w:pPr>
      <w:r>
        <w:t>For automakers, investment committees should stress-test decisions against both scenarios. Decisions robust under both — such as expanding the 2W/3W EV portfolio in India, where cost of ownership parity is already reached — are lower-risk choices. Decisions viable only under the high-adoption scenario — such as a new gigafactory commitment before charging density has crossed the critical threshold — should be staged against observable infrastructure milestones.</w:t>
      </w:r>
    </w:p>
    <w:p w14:paraId="69654307" w14:textId="77777777" w:rsidR="008D0767" w:rsidRDefault="00226115">
      <w:pPr>
        <w:spacing w:after="120"/>
        <w:jc w:val="both"/>
      </w:pPr>
      <w:r>
        <w:t>For infrastructure developers, the log-transformed charger-adoption relationship has a direct investment implication: marginal returns are highest in low-density markets like India. This argues for directing capital toward under-served states rather than reinforcing existing concentrations in Maharashtra and Delhi.</w:t>
      </w:r>
    </w:p>
    <w:p w14:paraId="6CC94133" w14:textId="77777777" w:rsidR="008D0767" w:rsidRDefault="00226115">
      <w:pPr>
        <w:pStyle w:val="Heading2"/>
        <w:spacing w:before="200" w:after="100"/>
      </w:pPr>
      <w:r>
        <w:rPr>
          <w:b/>
          <w:bCs/>
          <w:sz w:val="24"/>
          <w:szCs w:val="24"/>
        </w:rPr>
        <w:t>8.5.2 Short-Term and Long-Term Impact of This Research</w:t>
      </w:r>
    </w:p>
    <w:p w14:paraId="7FD743AD" w14:textId="77777777" w:rsidR="008D0767" w:rsidRDefault="00226115">
      <w:pPr>
        <w:spacing w:after="120"/>
        <w:jc w:val="both"/>
      </w:pPr>
      <w:r>
        <w:lastRenderedPageBreak/>
        <w:t>In the short term, the most direct impact is methodological. Organisations relying on trend extrapolation can replace it with the feature-aware XGBoost framework introduced here and immediately gain a two-scenario output — high-adoption ceiling vs conservative floor — for capital allocation reviews, supplier negotiations, and tender planning. For the Indian market, the three-wheeler segment's 60% electric share in 2025 without direct subsidies confirms that the total-cost-of-ownership argument already drives adoption in cost-sensitive segments.</w:t>
      </w:r>
    </w:p>
    <w:p w14:paraId="004C3152" w14:textId="77777777" w:rsidR="008D0767" w:rsidRDefault="00226115">
      <w:pPr>
        <w:spacing w:after="120"/>
        <w:jc w:val="both"/>
      </w:pPr>
      <w:r>
        <w:t>In the long term, the India-China benchmarking framework and the policy roadmap in Section 10 are designed to inform decisions with five-to-ten-year consequences. The analysis establishes that India requires approximately 1.32 million public charging stations to reach its 30 percent electric vehicle sales target by 2030, against roughly 88,000 in place by end-2025. Organisations making long-term commitments to the Indian electric vehicle market, whether as manufacturers, infrastructure developers, or financial institutions, can use this infrastructure deficit figure as a reference point for assessing market readiness and sequencing their own entry or expansion decisions. At the national policy level, acting on this research supports an infrastructure-led transition that reduces crude oil import exposure, improves urban air quality, and seeds domestic manufacturing in batteries and electric drivetrains.</w:t>
      </w:r>
    </w:p>
    <w:p w14:paraId="060CD8CE" w14:textId="77777777" w:rsidR="008D0767" w:rsidRDefault="00226115">
      <w:pPr>
        <w:pStyle w:val="Heading2"/>
        <w:spacing w:before="200" w:after="100"/>
      </w:pPr>
      <w:r>
        <w:rPr>
          <w:b/>
          <w:bCs/>
          <w:sz w:val="24"/>
          <w:szCs w:val="24"/>
        </w:rPr>
        <w:t>8.5.3 Impact on Organisational Processes and Performance</w:t>
      </w:r>
    </w:p>
    <w:p w14:paraId="35E60B4A" w14:textId="77777777" w:rsidR="008D0767" w:rsidRDefault="00226115">
      <w:pPr>
        <w:spacing w:after="120"/>
        <w:jc w:val="both"/>
      </w:pPr>
      <w:r>
        <w:t>The research has concrete implications for how organisations can restructure internal planning processes to improve performance in electric vehicle-adjacent markets. Three process-level changes are most directly supported by the analysis.</w:t>
      </w:r>
    </w:p>
    <w:p w14:paraId="554BDD6D" w14:textId="77777777" w:rsidR="008D0767" w:rsidRDefault="00226115">
      <w:pPr>
        <w:spacing w:after="120"/>
        <w:jc w:val="both"/>
      </w:pPr>
      <w:r>
        <w:t>First, oil price and public charger deployment data should be embedded into quarterly forecast refresh cycles — all three model inputs are publicly available on that frequency — rather than treating EV demand as a function of time alone. This keeps market position assessments current without waiting for annual planning cycles.</w:t>
      </w:r>
    </w:p>
    <w:p w14:paraId="5A7A737D" w14:textId="77777777" w:rsidR="008D0767" w:rsidRDefault="00226115">
      <w:pPr>
        <w:spacing w:after="120"/>
        <w:jc w:val="both"/>
      </w:pPr>
      <w:r>
        <w:lastRenderedPageBreak/>
        <w:t>Second, investment decision gates should be tied to charger density milestones rather than calendar years. The S-curve relationship (Gnann et al., 2018) means the critical question is not when a target year arrives but whether charging density has crossed the threshold where consumer hesitation falls non-linearly — a measurable, observable trigger.</w:t>
      </w:r>
    </w:p>
    <w:p w14:paraId="26AD7AE6" w14:textId="77777777" w:rsidR="008D0767" w:rsidRDefault="00226115">
      <w:pPr>
        <w:spacing w:after="120"/>
        <w:jc w:val="both"/>
      </w:pPr>
      <w:r>
        <w:t>Third, the India-China penetration-rate alignment method is replicable for competitive benchmarking: organisations can apply the same approach to assess whether their own market share trajectory is ahead of, at, or behind the pace comparable players achieved in China at an equivalent stage.</w:t>
      </w:r>
    </w:p>
    <w:p w14:paraId="68508007" w14:textId="77777777" w:rsidR="008D0767" w:rsidRDefault="00226115">
      <w:pPr>
        <w:pStyle w:val="Heading2"/>
        <w:spacing w:before="200" w:after="100"/>
      </w:pPr>
      <w:r>
        <w:rPr>
          <w:b/>
          <w:bCs/>
          <w:sz w:val="24"/>
          <w:szCs w:val="24"/>
        </w:rPr>
        <w:t>8.5.4 Evaluation Metrics and Processes for Organisations and Industry</w:t>
      </w:r>
    </w:p>
    <w:p w14:paraId="734C6867" w14:textId="77777777" w:rsidR="008D0767" w:rsidRDefault="00226115">
      <w:pPr>
        <w:spacing w:after="120"/>
        <w:jc w:val="both"/>
      </w:pPr>
      <w:r>
        <w:t>Performance evaluation should focus on metrics reflecting the two primary drivers: infrastructure deployment and oil price sensitivity of demand.</w:t>
      </w:r>
    </w:p>
    <w:p w14:paraId="554E2BC8" w14:textId="77777777" w:rsidR="008D0767" w:rsidRDefault="00226115">
      <w:pPr>
        <w:spacing w:after="120"/>
        <w:jc w:val="both"/>
      </w:pPr>
      <w:r>
        <w:t>At the market level, the relevant tracking metrics include: the total number of public charging points per 100,000 registered vehicles in a target geography, updated quarterly; the ratio of electric vehicle sales to total vehicle sales by segment, tracked against the XGBoost and Random Forest scenario bounds rather than against a single target; and the annual average Brent crude oil price relative to the threshold at which the study observes a measurable acceleration in adoption. These three metrics together tell an organisation whether the structural conditions for demand growth are improving, stable, or deteriorating in a given market.</w:t>
      </w:r>
    </w:p>
    <w:p w14:paraId="32F274F1" w14:textId="77777777" w:rsidR="008D0767" w:rsidRDefault="00226115">
      <w:pPr>
        <w:spacing w:after="120"/>
        <w:jc w:val="both"/>
      </w:pPr>
      <w:r>
        <w:t xml:space="preserve">At the organisational level, performance can be evaluated against the infrastructure milestone gates described in Section 8.5.3. For manufacturers, the key internal metric is whether product launches and capacity additions are timed to infrastructure density milestones rather than calendar dates. For infrastructure developers, the relevant metric is the marginal adoption impact per charger deployed, which this study shows to be higher in under-served geographies. For investors and financial institutions, the performance evaluation process should incorporate </w:t>
      </w:r>
      <w:r>
        <w:lastRenderedPageBreak/>
        <w:t>the forecast scenario range from this study as a stress test: investments that generate acceptable returns only under the XGBoost high-adoption scenario should be treated as higher risk than those that remain viable under the Random Forest conservative baseline as well.</w:t>
      </w:r>
    </w:p>
    <w:p w14:paraId="3BE4E57F" w14:textId="6C858B94" w:rsidR="00FF710B" w:rsidRDefault="00226115">
      <w:pPr>
        <w:spacing w:after="120"/>
        <w:jc w:val="both"/>
      </w:pPr>
      <w:r>
        <w:t xml:space="preserve">For national industry bodies and government agencies, the most relevant evaluation process is a quarterly reconciliation of actual charger deployment against the trajectory implied by the 1.32 million charging station target for 2030. If deployment is running behind the implied pace, the analysis in this study provides a clear causal framework for diagnosing why: either infrastructure funding is not being deployed at the committed rate, or the geographic distribution of new chargers is not reaching the markets where marginal adoption impact is </w:t>
      </w:r>
    </w:p>
    <w:p w14:paraId="2F154F61" w14:textId="4DEA6979" w:rsidR="00FF710B" w:rsidRDefault="00226115" w:rsidP="000F34B4">
      <w:pPr>
        <w:spacing w:after="120"/>
        <w:jc w:val="both"/>
        <w:rPr>
          <w:b/>
          <w:bCs/>
          <w:sz w:val="28"/>
          <w:szCs w:val="28"/>
        </w:rPr>
      </w:pPr>
      <w:r>
        <w:t>highest.</w:t>
      </w:r>
    </w:p>
    <w:p w14:paraId="7E5E661B" w14:textId="5A489F54" w:rsidR="008D0767" w:rsidRPr="00D54F06" w:rsidRDefault="00FF710B">
      <w:pPr>
        <w:pStyle w:val="Heading1"/>
        <w:spacing w:before="240" w:after="120"/>
        <w:rPr>
          <w:sz w:val="28"/>
          <w:szCs w:val="28"/>
        </w:rPr>
      </w:pPr>
      <w:r>
        <w:rPr>
          <w:b/>
          <w:bCs/>
          <w:sz w:val="28"/>
          <w:szCs w:val="28"/>
        </w:rPr>
        <w:t>9</w:t>
      </w:r>
      <w:r w:rsidR="00226115">
        <w:rPr>
          <w:b/>
          <w:bCs/>
          <w:sz w:val="28"/>
          <w:szCs w:val="28"/>
        </w:rPr>
        <w:t>. Strategic Policy Recommendations for India</w:t>
      </w:r>
    </w:p>
    <w:p w14:paraId="06800DBA" w14:textId="21658D9D" w:rsidR="008D0767" w:rsidRDefault="00226115">
      <w:pPr>
        <w:spacing w:after="120"/>
        <w:jc w:val="both"/>
      </w:pPr>
      <w:r>
        <w:t xml:space="preserve">Ten policy actions are identified from the analysis, ranked by priority and assigned to the government bodies responsible for implementation. The ranking logic follows directly from the analysis in Sections 7 and 8: infrastructure deployment is the binding constraint identified across both the global model and the India-China benchmark (Sections 5.7, 7.4), so infrastructure-related actions (items 1, 4, 6) are weighted as Critical or High regardless of fiscal cost. Demand-side and capacity-building measures (items 8, 9) are sequenced as </w:t>
      </w:r>
      <w:r w:rsidR="000F34B4">
        <w:t>medium</w:t>
      </w:r>
      <w:r>
        <w:t xml:space="preserve"> priority on the basis that they are more effective once the infrastructure base in items 1–6 is in place—mirroring the sequencing observed in China's 2015–2020 trajectory (Section 8.2).</w:t>
      </w:r>
    </w:p>
    <w:p w14:paraId="799B4C0B" w14:textId="77777777" w:rsidR="584F4E83" w:rsidRDefault="584F4E83" w:rsidP="584F4E83"/>
    <w:p w14:paraId="55C13A08" w14:textId="77777777" w:rsidR="008D0767" w:rsidRDefault="00226115">
      <w:pPr>
        <w:spacing w:before="120" w:after="60"/>
      </w:pPr>
      <w:r>
        <w:rPr>
          <w:b/>
          <w:bCs/>
          <w:i/>
          <w:iCs/>
        </w:rPr>
        <w:t>Table 3: Strategic Policy Recommendations</w:t>
      </w:r>
    </w:p>
    <w:tbl>
      <w:tblPr>
        <w:tblW w:w="8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8"/>
        <w:gridCol w:w="3771"/>
        <w:gridCol w:w="1212"/>
        <w:gridCol w:w="1346"/>
        <w:gridCol w:w="1885"/>
      </w:tblGrid>
      <w:tr w:rsidR="008D0767" w14:paraId="498A449C" w14:textId="77777777" w:rsidTr="00C53B94">
        <w:trPr>
          <w:trHeight w:val="474"/>
          <w:tblHeader/>
        </w:trPr>
        <w:tc>
          <w:tcPr>
            <w:tcW w:w="538" w:type="dxa"/>
            <w:shd w:val="clear" w:color="auto" w:fill="D9D9D9"/>
          </w:tcPr>
          <w:p w14:paraId="70DC1E71" w14:textId="77777777" w:rsidR="008D0767" w:rsidRDefault="00226115">
            <w:pPr>
              <w:spacing w:before="60" w:after="60" w:line="360" w:lineRule="auto"/>
              <w:jc w:val="center"/>
            </w:pPr>
            <w:r>
              <w:rPr>
                <w:b/>
                <w:bCs/>
                <w:sz w:val="20"/>
                <w:szCs w:val="20"/>
              </w:rPr>
              <w:t>#</w:t>
            </w:r>
          </w:p>
        </w:tc>
        <w:tc>
          <w:tcPr>
            <w:tcW w:w="3771" w:type="dxa"/>
            <w:shd w:val="clear" w:color="auto" w:fill="D9D9D9"/>
          </w:tcPr>
          <w:p w14:paraId="4788D793" w14:textId="77777777" w:rsidR="008D0767" w:rsidRDefault="00226115">
            <w:pPr>
              <w:spacing w:before="60" w:after="60" w:line="360" w:lineRule="auto"/>
              <w:jc w:val="center"/>
            </w:pPr>
            <w:r>
              <w:rPr>
                <w:b/>
                <w:bCs/>
                <w:sz w:val="20"/>
                <w:szCs w:val="20"/>
              </w:rPr>
              <w:t>Action Item</w:t>
            </w:r>
          </w:p>
        </w:tc>
        <w:tc>
          <w:tcPr>
            <w:tcW w:w="1212" w:type="dxa"/>
            <w:shd w:val="clear" w:color="auto" w:fill="D9D9D9"/>
          </w:tcPr>
          <w:p w14:paraId="67C30C6C" w14:textId="77777777" w:rsidR="008D0767" w:rsidRDefault="00226115">
            <w:pPr>
              <w:spacing w:before="60" w:after="60" w:line="360" w:lineRule="auto"/>
              <w:jc w:val="center"/>
            </w:pPr>
            <w:r>
              <w:rPr>
                <w:b/>
                <w:bCs/>
                <w:sz w:val="20"/>
                <w:szCs w:val="20"/>
              </w:rPr>
              <w:t>Priority</w:t>
            </w:r>
          </w:p>
        </w:tc>
        <w:tc>
          <w:tcPr>
            <w:tcW w:w="1346" w:type="dxa"/>
            <w:shd w:val="clear" w:color="auto" w:fill="D9D9D9"/>
          </w:tcPr>
          <w:p w14:paraId="40C08C43" w14:textId="77777777" w:rsidR="008D0767" w:rsidRDefault="00226115">
            <w:pPr>
              <w:spacing w:before="60" w:after="60" w:line="360" w:lineRule="auto"/>
              <w:jc w:val="center"/>
            </w:pPr>
            <w:r>
              <w:rPr>
                <w:b/>
                <w:bCs/>
                <w:sz w:val="20"/>
                <w:szCs w:val="20"/>
              </w:rPr>
              <w:t>Timeline</w:t>
            </w:r>
          </w:p>
        </w:tc>
        <w:tc>
          <w:tcPr>
            <w:tcW w:w="1885" w:type="dxa"/>
            <w:shd w:val="clear" w:color="auto" w:fill="D9D9D9"/>
          </w:tcPr>
          <w:p w14:paraId="35D1B7F0" w14:textId="77777777" w:rsidR="008D0767" w:rsidRDefault="00226115">
            <w:pPr>
              <w:spacing w:before="60" w:after="60" w:line="360" w:lineRule="auto"/>
              <w:jc w:val="center"/>
            </w:pPr>
            <w:r>
              <w:rPr>
                <w:b/>
                <w:bCs/>
                <w:sz w:val="20"/>
                <w:szCs w:val="20"/>
              </w:rPr>
              <w:t>Owner</w:t>
            </w:r>
          </w:p>
        </w:tc>
      </w:tr>
      <w:tr w:rsidR="008D0767" w14:paraId="32B6D5B7" w14:textId="77777777" w:rsidTr="00C53B94">
        <w:trPr>
          <w:trHeight w:val="815"/>
        </w:trPr>
        <w:tc>
          <w:tcPr>
            <w:tcW w:w="538" w:type="dxa"/>
          </w:tcPr>
          <w:p w14:paraId="5876E704" w14:textId="77777777" w:rsidR="008D0767" w:rsidRDefault="00226115">
            <w:pPr>
              <w:spacing w:before="60" w:after="60" w:line="360" w:lineRule="auto"/>
              <w:jc w:val="center"/>
            </w:pPr>
            <w:r>
              <w:rPr>
                <w:sz w:val="20"/>
                <w:szCs w:val="20"/>
              </w:rPr>
              <w:t>1</w:t>
            </w:r>
          </w:p>
        </w:tc>
        <w:tc>
          <w:tcPr>
            <w:tcW w:w="3771" w:type="dxa"/>
          </w:tcPr>
          <w:p w14:paraId="64897631" w14:textId="77777777" w:rsidR="008D0767" w:rsidRDefault="00226115">
            <w:pPr>
              <w:spacing w:before="60" w:after="60" w:line="360" w:lineRule="auto"/>
              <w:jc w:val="center"/>
            </w:pPr>
            <w:r>
              <w:rPr>
                <w:sz w:val="20"/>
                <w:szCs w:val="20"/>
              </w:rPr>
              <w:t>Mandate 100,000 public fast chargers by 2027</w:t>
            </w:r>
          </w:p>
        </w:tc>
        <w:tc>
          <w:tcPr>
            <w:tcW w:w="1212" w:type="dxa"/>
          </w:tcPr>
          <w:p w14:paraId="08882BAB" w14:textId="77777777" w:rsidR="008D0767" w:rsidRDefault="00226115">
            <w:pPr>
              <w:spacing w:before="60" w:after="60" w:line="360" w:lineRule="auto"/>
              <w:jc w:val="center"/>
            </w:pPr>
            <w:r>
              <w:rPr>
                <w:sz w:val="20"/>
                <w:szCs w:val="20"/>
              </w:rPr>
              <w:t>Critical</w:t>
            </w:r>
          </w:p>
        </w:tc>
        <w:tc>
          <w:tcPr>
            <w:tcW w:w="1346" w:type="dxa"/>
          </w:tcPr>
          <w:p w14:paraId="6AFFE7E1" w14:textId="77777777" w:rsidR="008D0767" w:rsidRDefault="00226115">
            <w:pPr>
              <w:spacing w:before="60" w:after="60" w:line="360" w:lineRule="auto"/>
              <w:jc w:val="center"/>
            </w:pPr>
            <w:r>
              <w:rPr>
                <w:sz w:val="20"/>
                <w:szCs w:val="20"/>
              </w:rPr>
              <w:t>2024–2027</w:t>
            </w:r>
          </w:p>
        </w:tc>
        <w:tc>
          <w:tcPr>
            <w:tcW w:w="1885" w:type="dxa"/>
          </w:tcPr>
          <w:p w14:paraId="766F9BBF" w14:textId="77777777" w:rsidR="008D0767" w:rsidRDefault="00226115">
            <w:pPr>
              <w:spacing w:before="60" w:after="60" w:line="360" w:lineRule="auto"/>
              <w:jc w:val="center"/>
            </w:pPr>
            <w:r>
              <w:rPr>
                <w:sz w:val="20"/>
                <w:szCs w:val="20"/>
              </w:rPr>
              <w:t>Govt of India</w:t>
            </w:r>
          </w:p>
        </w:tc>
      </w:tr>
      <w:tr w:rsidR="008D0767" w14:paraId="337B149F" w14:textId="77777777" w:rsidTr="00C53B94">
        <w:trPr>
          <w:trHeight w:val="815"/>
        </w:trPr>
        <w:tc>
          <w:tcPr>
            <w:tcW w:w="538" w:type="dxa"/>
          </w:tcPr>
          <w:p w14:paraId="2B31938A" w14:textId="77777777" w:rsidR="008D0767" w:rsidRDefault="00226115">
            <w:pPr>
              <w:spacing w:before="60" w:after="60" w:line="360" w:lineRule="auto"/>
              <w:jc w:val="center"/>
            </w:pPr>
            <w:r>
              <w:rPr>
                <w:sz w:val="20"/>
                <w:szCs w:val="20"/>
              </w:rPr>
              <w:lastRenderedPageBreak/>
              <w:t>2</w:t>
            </w:r>
          </w:p>
        </w:tc>
        <w:tc>
          <w:tcPr>
            <w:tcW w:w="3771" w:type="dxa"/>
          </w:tcPr>
          <w:p w14:paraId="27F5E89B" w14:textId="77777777" w:rsidR="008D0767" w:rsidRDefault="00226115">
            <w:pPr>
              <w:spacing w:before="60" w:after="60" w:line="360" w:lineRule="auto"/>
              <w:jc w:val="center"/>
            </w:pPr>
            <w:r>
              <w:rPr>
                <w:sz w:val="20"/>
                <w:szCs w:val="20"/>
              </w:rPr>
              <w:t>Extend FAME III with enhanced 4-wheeler subsidies (Rs. 1.5L)</w:t>
            </w:r>
          </w:p>
        </w:tc>
        <w:tc>
          <w:tcPr>
            <w:tcW w:w="1212" w:type="dxa"/>
          </w:tcPr>
          <w:p w14:paraId="1FE94320" w14:textId="77777777" w:rsidR="008D0767" w:rsidRDefault="00226115">
            <w:pPr>
              <w:spacing w:before="60" w:after="60" w:line="360" w:lineRule="auto"/>
              <w:jc w:val="center"/>
            </w:pPr>
            <w:r>
              <w:rPr>
                <w:sz w:val="20"/>
                <w:szCs w:val="20"/>
              </w:rPr>
              <w:t>Critical</w:t>
            </w:r>
          </w:p>
        </w:tc>
        <w:tc>
          <w:tcPr>
            <w:tcW w:w="1346" w:type="dxa"/>
          </w:tcPr>
          <w:p w14:paraId="52C0DAAC" w14:textId="77777777" w:rsidR="008D0767" w:rsidRDefault="00226115">
            <w:pPr>
              <w:spacing w:before="60" w:after="60" w:line="360" w:lineRule="auto"/>
              <w:jc w:val="center"/>
            </w:pPr>
            <w:r>
              <w:rPr>
                <w:sz w:val="20"/>
                <w:szCs w:val="20"/>
              </w:rPr>
              <w:t>2025 Budget</w:t>
            </w:r>
          </w:p>
        </w:tc>
        <w:tc>
          <w:tcPr>
            <w:tcW w:w="1885" w:type="dxa"/>
          </w:tcPr>
          <w:p w14:paraId="4B91CD3A" w14:textId="77777777" w:rsidR="008D0767" w:rsidRDefault="00226115">
            <w:pPr>
              <w:spacing w:before="60" w:after="60" w:line="360" w:lineRule="auto"/>
              <w:jc w:val="center"/>
            </w:pPr>
            <w:r>
              <w:rPr>
                <w:sz w:val="20"/>
                <w:szCs w:val="20"/>
              </w:rPr>
              <w:t>Finance Ministry</w:t>
            </w:r>
          </w:p>
        </w:tc>
      </w:tr>
      <w:tr w:rsidR="008D0767" w14:paraId="1129DC30" w14:textId="77777777" w:rsidTr="00C53B94">
        <w:trPr>
          <w:trHeight w:val="827"/>
        </w:trPr>
        <w:tc>
          <w:tcPr>
            <w:tcW w:w="538" w:type="dxa"/>
          </w:tcPr>
          <w:p w14:paraId="13D2D67B" w14:textId="77777777" w:rsidR="008D0767" w:rsidRDefault="00226115">
            <w:pPr>
              <w:spacing w:before="60" w:after="60" w:line="360" w:lineRule="auto"/>
              <w:jc w:val="center"/>
            </w:pPr>
            <w:r>
              <w:rPr>
                <w:sz w:val="20"/>
                <w:szCs w:val="20"/>
              </w:rPr>
              <w:t>3</w:t>
            </w:r>
          </w:p>
        </w:tc>
        <w:tc>
          <w:tcPr>
            <w:tcW w:w="3771" w:type="dxa"/>
          </w:tcPr>
          <w:p w14:paraId="1A7AE170" w14:textId="77777777" w:rsidR="008D0767" w:rsidRDefault="00226115">
            <w:pPr>
              <w:spacing w:before="60" w:after="60" w:line="360" w:lineRule="auto"/>
              <w:jc w:val="center"/>
            </w:pPr>
            <w:r>
              <w:rPr>
                <w:sz w:val="20"/>
                <w:szCs w:val="20"/>
              </w:rPr>
              <w:t>EV-ready building codes for new constructions &gt;10 units</w:t>
            </w:r>
          </w:p>
        </w:tc>
        <w:tc>
          <w:tcPr>
            <w:tcW w:w="1212" w:type="dxa"/>
          </w:tcPr>
          <w:p w14:paraId="7727345D" w14:textId="77777777" w:rsidR="008D0767" w:rsidRDefault="00226115">
            <w:pPr>
              <w:spacing w:before="60" w:after="60" w:line="360" w:lineRule="auto"/>
              <w:jc w:val="center"/>
            </w:pPr>
            <w:r>
              <w:rPr>
                <w:sz w:val="20"/>
                <w:szCs w:val="20"/>
              </w:rPr>
              <w:t>High</w:t>
            </w:r>
          </w:p>
        </w:tc>
        <w:tc>
          <w:tcPr>
            <w:tcW w:w="1346" w:type="dxa"/>
          </w:tcPr>
          <w:p w14:paraId="3610DA35" w14:textId="77777777" w:rsidR="008D0767" w:rsidRDefault="00226115">
            <w:pPr>
              <w:spacing w:before="60" w:after="60" w:line="360" w:lineRule="auto"/>
              <w:jc w:val="center"/>
            </w:pPr>
            <w:r>
              <w:rPr>
                <w:sz w:val="20"/>
                <w:szCs w:val="20"/>
              </w:rPr>
              <w:t>2025</w:t>
            </w:r>
          </w:p>
        </w:tc>
        <w:tc>
          <w:tcPr>
            <w:tcW w:w="1885" w:type="dxa"/>
          </w:tcPr>
          <w:p w14:paraId="3F8FF800" w14:textId="77777777" w:rsidR="008D0767" w:rsidRDefault="00226115">
            <w:pPr>
              <w:spacing w:before="60" w:after="60" w:line="360" w:lineRule="auto"/>
              <w:jc w:val="center"/>
            </w:pPr>
            <w:r>
              <w:rPr>
                <w:sz w:val="20"/>
                <w:szCs w:val="20"/>
              </w:rPr>
              <w:t>MoHUA</w:t>
            </w:r>
          </w:p>
        </w:tc>
      </w:tr>
      <w:tr w:rsidR="008D0767" w14:paraId="61F6D37E" w14:textId="77777777" w:rsidTr="00C53B94">
        <w:trPr>
          <w:trHeight w:val="1168"/>
        </w:trPr>
        <w:tc>
          <w:tcPr>
            <w:tcW w:w="538" w:type="dxa"/>
          </w:tcPr>
          <w:p w14:paraId="0DF0DC28" w14:textId="77777777" w:rsidR="008D0767" w:rsidRDefault="00226115">
            <w:pPr>
              <w:spacing w:before="60" w:after="60" w:line="360" w:lineRule="auto"/>
              <w:jc w:val="center"/>
            </w:pPr>
            <w:r>
              <w:rPr>
                <w:sz w:val="20"/>
                <w:szCs w:val="20"/>
              </w:rPr>
              <w:t>4</w:t>
            </w:r>
          </w:p>
        </w:tc>
        <w:tc>
          <w:tcPr>
            <w:tcW w:w="3771" w:type="dxa"/>
          </w:tcPr>
          <w:p w14:paraId="6C3A9F47" w14:textId="77777777" w:rsidR="008D0767" w:rsidRDefault="00226115">
            <w:pPr>
              <w:spacing w:before="60" w:after="60" w:line="360" w:lineRule="auto"/>
              <w:jc w:val="center"/>
            </w:pPr>
            <w:r>
              <w:rPr>
                <w:sz w:val="20"/>
                <w:szCs w:val="20"/>
              </w:rPr>
              <w:t>National Battery Gigafactory program (PLI+) targeting 100 GWh</w:t>
            </w:r>
          </w:p>
        </w:tc>
        <w:tc>
          <w:tcPr>
            <w:tcW w:w="1212" w:type="dxa"/>
          </w:tcPr>
          <w:p w14:paraId="1FFD6234" w14:textId="77777777" w:rsidR="008D0767" w:rsidRDefault="00226115">
            <w:pPr>
              <w:spacing w:before="60" w:after="60" w:line="360" w:lineRule="auto"/>
              <w:jc w:val="center"/>
            </w:pPr>
            <w:r>
              <w:rPr>
                <w:sz w:val="20"/>
                <w:szCs w:val="20"/>
              </w:rPr>
              <w:t>Critical</w:t>
            </w:r>
          </w:p>
        </w:tc>
        <w:tc>
          <w:tcPr>
            <w:tcW w:w="1346" w:type="dxa"/>
          </w:tcPr>
          <w:p w14:paraId="56AD1EA9" w14:textId="77777777" w:rsidR="008D0767" w:rsidRDefault="00226115">
            <w:pPr>
              <w:spacing w:before="60" w:after="60" w:line="360" w:lineRule="auto"/>
              <w:jc w:val="center"/>
            </w:pPr>
            <w:r>
              <w:rPr>
                <w:sz w:val="20"/>
                <w:szCs w:val="20"/>
              </w:rPr>
              <w:t>2024–2028</w:t>
            </w:r>
          </w:p>
        </w:tc>
        <w:tc>
          <w:tcPr>
            <w:tcW w:w="1885" w:type="dxa"/>
          </w:tcPr>
          <w:p w14:paraId="4A7E14F5" w14:textId="77777777" w:rsidR="008D0767" w:rsidRDefault="00226115">
            <w:pPr>
              <w:spacing w:before="60" w:after="60" w:line="360" w:lineRule="auto"/>
              <w:jc w:val="center"/>
            </w:pPr>
            <w:r>
              <w:rPr>
                <w:sz w:val="20"/>
                <w:szCs w:val="20"/>
              </w:rPr>
              <w:t>DPIIT</w:t>
            </w:r>
          </w:p>
        </w:tc>
      </w:tr>
      <w:tr w:rsidR="008D0767" w14:paraId="569FCE8F" w14:textId="77777777" w:rsidTr="00C53B94">
        <w:trPr>
          <w:trHeight w:val="815"/>
        </w:trPr>
        <w:tc>
          <w:tcPr>
            <w:tcW w:w="538" w:type="dxa"/>
          </w:tcPr>
          <w:p w14:paraId="551C7678" w14:textId="77777777" w:rsidR="008D0767" w:rsidRDefault="00226115">
            <w:pPr>
              <w:spacing w:before="60" w:after="60" w:line="360" w:lineRule="auto"/>
              <w:jc w:val="center"/>
            </w:pPr>
            <w:r>
              <w:rPr>
                <w:sz w:val="20"/>
                <w:szCs w:val="20"/>
              </w:rPr>
              <w:t>5</w:t>
            </w:r>
          </w:p>
        </w:tc>
        <w:tc>
          <w:tcPr>
            <w:tcW w:w="3771" w:type="dxa"/>
          </w:tcPr>
          <w:p w14:paraId="3FF9B070" w14:textId="77777777" w:rsidR="008D0767" w:rsidRDefault="00226115">
            <w:pPr>
              <w:spacing w:before="60" w:after="60" w:line="360" w:lineRule="auto"/>
              <w:jc w:val="center"/>
            </w:pPr>
            <w:r>
              <w:rPr>
                <w:sz w:val="20"/>
                <w:szCs w:val="20"/>
              </w:rPr>
              <w:t>30% of new 2-wheeler sales must be electric by 2026</w:t>
            </w:r>
          </w:p>
        </w:tc>
        <w:tc>
          <w:tcPr>
            <w:tcW w:w="1212" w:type="dxa"/>
          </w:tcPr>
          <w:p w14:paraId="68F2802B" w14:textId="77777777" w:rsidR="008D0767" w:rsidRDefault="00226115">
            <w:pPr>
              <w:spacing w:before="60" w:after="60" w:line="360" w:lineRule="auto"/>
              <w:jc w:val="center"/>
            </w:pPr>
            <w:r>
              <w:rPr>
                <w:sz w:val="20"/>
                <w:szCs w:val="20"/>
              </w:rPr>
              <w:t>High</w:t>
            </w:r>
          </w:p>
        </w:tc>
        <w:tc>
          <w:tcPr>
            <w:tcW w:w="1346" w:type="dxa"/>
          </w:tcPr>
          <w:p w14:paraId="3A2BD666" w14:textId="77777777" w:rsidR="008D0767" w:rsidRDefault="00226115">
            <w:pPr>
              <w:spacing w:before="60" w:after="60" w:line="360" w:lineRule="auto"/>
              <w:jc w:val="center"/>
            </w:pPr>
            <w:r>
              <w:rPr>
                <w:sz w:val="20"/>
                <w:szCs w:val="20"/>
              </w:rPr>
              <w:t>2025 Policy</w:t>
            </w:r>
          </w:p>
        </w:tc>
        <w:tc>
          <w:tcPr>
            <w:tcW w:w="1885" w:type="dxa"/>
          </w:tcPr>
          <w:p w14:paraId="3ECCECA8" w14:textId="77777777" w:rsidR="008D0767" w:rsidRDefault="00226115">
            <w:pPr>
              <w:spacing w:before="60" w:after="60" w:line="360" w:lineRule="auto"/>
              <w:jc w:val="center"/>
            </w:pPr>
            <w:r>
              <w:rPr>
                <w:sz w:val="20"/>
                <w:szCs w:val="20"/>
              </w:rPr>
              <w:t>Govt of India</w:t>
            </w:r>
          </w:p>
        </w:tc>
      </w:tr>
      <w:tr w:rsidR="008D0767" w14:paraId="624537FD" w14:textId="77777777" w:rsidTr="00C53B94">
        <w:trPr>
          <w:trHeight w:val="1168"/>
        </w:trPr>
        <w:tc>
          <w:tcPr>
            <w:tcW w:w="538" w:type="dxa"/>
          </w:tcPr>
          <w:p w14:paraId="4BC42282" w14:textId="77777777" w:rsidR="008D0767" w:rsidRDefault="00226115">
            <w:pPr>
              <w:spacing w:before="60" w:after="60" w:line="360" w:lineRule="auto"/>
              <w:jc w:val="center"/>
            </w:pPr>
            <w:r>
              <w:rPr>
                <w:sz w:val="20"/>
                <w:szCs w:val="20"/>
              </w:rPr>
              <w:t>6</w:t>
            </w:r>
          </w:p>
        </w:tc>
        <w:tc>
          <w:tcPr>
            <w:tcW w:w="3771" w:type="dxa"/>
          </w:tcPr>
          <w:p w14:paraId="3E6CB7E8" w14:textId="77777777" w:rsidR="008D0767" w:rsidRDefault="00226115">
            <w:pPr>
              <w:spacing w:before="60" w:after="60" w:line="360" w:lineRule="auto"/>
              <w:jc w:val="center"/>
            </w:pPr>
            <w:r>
              <w:rPr>
                <w:sz w:val="20"/>
                <w:szCs w:val="20"/>
              </w:rPr>
              <w:t>Highway fast-charger corridors (25km spacing) on Golden Quadrilateral</w:t>
            </w:r>
          </w:p>
        </w:tc>
        <w:tc>
          <w:tcPr>
            <w:tcW w:w="1212" w:type="dxa"/>
          </w:tcPr>
          <w:p w14:paraId="6BD82196" w14:textId="77777777" w:rsidR="008D0767" w:rsidRDefault="00226115">
            <w:pPr>
              <w:spacing w:before="60" w:after="60" w:line="360" w:lineRule="auto"/>
              <w:jc w:val="center"/>
            </w:pPr>
            <w:r>
              <w:rPr>
                <w:sz w:val="20"/>
                <w:szCs w:val="20"/>
              </w:rPr>
              <w:t>High</w:t>
            </w:r>
          </w:p>
        </w:tc>
        <w:tc>
          <w:tcPr>
            <w:tcW w:w="1346" w:type="dxa"/>
          </w:tcPr>
          <w:p w14:paraId="5D8D5D51" w14:textId="77777777" w:rsidR="008D0767" w:rsidRDefault="00226115">
            <w:pPr>
              <w:spacing w:before="60" w:after="60" w:line="360" w:lineRule="auto"/>
              <w:jc w:val="center"/>
            </w:pPr>
            <w:r>
              <w:rPr>
                <w:sz w:val="20"/>
                <w:szCs w:val="20"/>
              </w:rPr>
              <w:t>2025–2026</w:t>
            </w:r>
          </w:p>
        </w:tc>
        <w:tc>
          <w:tcPr>
            <w:tcW w:w="1885" w:type="dxa"/>
          </w:tcPr>
          <w:p w14:paraId="1341E6F0" w14:textId="77777777" w:rsidR="008D0767" w:rsidRDefault="00226115">
            <w:pPr>
              <w:spacing w:before="60" w:after="60" w:line="360" w:lineRule="auto"/>
              <w:jc w:val="center"/>
            </w:pPr>
            <w:r>
              <w:rPr>
                <w:sz w:val="20"/>
                <w:szCs w:val="20"/>
              </w:rPr>
              <w:t>NHAI / MoP</w:t>
            </w:r>
          </w:p>
        </w:tc>
      </w:tr>
      <w:tr w:rsidR="008D0767" w14:paraId="1736EF76" w14:textId="77777777" w:rsidTr="00C53B94">
        <w:trPr>
          <w:trHeight w:val="815"/>
        </w:trPr>
        <w:tc>
          <w:tcPr>
            <w:tcW w:w="538" w:type="dxa"/>
          </w:tcPr>
          <w:p w14:paraId="1481C499" w14:textId="77777777" w:rsidR="008D0767" w:rsidRDefault="00226115">
            <w:pPr>
              <w:spacing w:before="60" w:after="60" w:line="360" w:lineRule="auto"/>
              <w:jc w:val="center"/>
            </w:pPr>
            <w:r>
              <w:rPr>
                <w:sz w:val="20"/>
                <w:szCs w:val="20"/>
              </w:rPr>
              <w:t>7</w:t>
            </w:r>
          </w:p>
        </w:tc>
        <w:tc>
          <w:tcPr>
            <w:tcW w:w="3771" w:type="dxa"/>
          </w:tcPr>
          <w:p w14:paraId="515FD355" w14:textId="77777777" w:rsidR="008D0767" w:rsidRDefault="00226115">
            <w:pPr>
              <w:spacing w:before="60" w:after="60" w:line="360" w:lineRule="auto"/>
              <w:jc w:val="center"/>
            </w:pPr>
            <w:r>
              <w:rPr>
                <w:sz w:val="20"/>
                <w:szCs w:val="20"/>
              </w:rPr>
              <w:t>Green EV financing at 4% interest via SIDBI/NaBFID</w:t>
            </w:r>
          </w:p>
        </w:tc>
        <w:tc>
          <w:tcPr>
            <w:tcW w:w="1212" w:type="dxa"/>
          </w:tcPr>
          <w:p w14:paraId="643B5518" w14:textId="77777777" w:rsidR="008D0767" w:rsidRDefault="00226115">
            <w:pPr>
              <w:spacing w:before="60" w:after="60" w:line="360" w:lineRule="auto"/>
              <w:jc w:val="center"/>
            </w:pPr>
            <w:r>
              <w:rPr>
                <w:sz w:val="20"/>
                <w:szCs w:val="20"/>
              </w:rPr>
              <w:t>High</w:t>
            </w:r>
          </w:p>
        </w:tc>
        <w:tc>
          <w:tcPr>
            <w:tcW w:w="1346" w:type="dxa"/>
          </w:tcPr>
          <w:p w14:paraId="533C652A" w14:textId="77777777" w:rsidR="008D0767" w:rsidRDefault="00226115">
            <w:pPr>
              <w:spacing w:before="60" w:after="60" w:line="360" w:lineRule="auto"/>
              <w:jc w:val="center"/>
            </w:pPr>
            <w:r>
              <w:rPr>
                <w:sz w:val="20"/>
                <w:szCs w:val="20"/>
              </w:rPr>
              <w:t>2025</w:t>
            </w:r>
          </w:p>
        </w:tc>
        <w:tc>
          <w:tcPr>
            <w:tcW w:w="1885" w:type="dxa"/>
          </w:tcPr>
          <w:p w14:paraId="4F01E83B" w14:textId="77777777" w:rsidR="008D0767" w:rsidRDefault="00226115">
            <w:pPr>
              <w:spacing w:before="60" w:after="60" w:line="360" w:lineRule="auto"/>
              <w:jc w:val="center"/>
            </w:pPr>
            <w:r>
              <w:rPr>
                <w:sz w:val="20"/>
                <w:szCs w:val="20"/>
              </w:rPr>
              <w:t>Finance Ministry</w:t>
            </w:r>
          </w:p>
        </w:tc>
      </w:tr>
      <w:tr w:rsidR="008D0767" w14:paraId="6879EBD8" w14:textId="77777777" w:rsidTr="00C53B94">
        <w:trPr>
          <w:trHeight w:val="827"/>
        </w:trPr>
        <w:tc>
          <w:tcPr>
            <w:tcW w:w="538" w:type="dxa"/>
          </w:tcPr>
          <w:p w14:paraId="318D350B" w14:textId="77777777" w:rsidR="008D0767" w:rsidRDefault="00226115">
            <w:pPr>
              <w:spacing w:before="60" w:after="60" w:line="360" w:lineRule="auto"/>
              <w:jc w:val="center"/>
            </w:pPr>
            <w:r>
              <w:rPr>
                <w:sz w:val="20"/>
                <w:szCs w:val="20"/>
              </w:rPr>
              <w:t>8</w:t>
            </w:r>
          </w:p>
        </w:tc>
        <w:tc>
          <w:tcPr>
            <w:tcW w:w="3771" w:type="dxa"/>
          </w:tcPr>
          <w:p w14:paraId="1138C329" w14:textId="77777777" w:rsidR="008D0767" w:rsidRDefault="00226115">
            <w:pPr>
              <w:spacing w:before="60" w:after="60" w:line="360" w:lineRule="auto"/>
              <w:jc w:val="center"/>
            </w:pPr>
            <w:r>
              <w:rPr>
                <w:sz w:val="20"/>
                <w:szCs w:val="20"/>
              </w:rPr>
              <w:t>National EV data platform for charging utilisation forecasting</w:t>
            </w:r>
          </w:p>
        </w:tc>
        <w:tc>
          <w:tcPr>
            <w:tcW w:w="1212" w:type="dxa"/>
          </w:tcPr>
          <w:p w14:paraId="49A3BF68" w14:textId="77777777" w:rsidR="008D0767" w:rsidRDefault="00226115">
            <w:pPr>
              <w:spacing w:before="60" w:after="60" w:line="360" w:lineRule="auto"/>
              <w:jc w:val="center"/>
            </w:pPr>
            <w:r>
              <w:rPr>
                <w:sz w:val="20"/>
                <w:szCs w:val="20"/>
              </w:rPr>
              <w:t>Medium</w:t>
            </w:r>
          </w:p>
        </w:tc>
        <w:tc>
          <w:tcPr>
            <w:tcW w:w="1346" w:type="dxa"/>
          </w:tcPr>
          <w:p w14:paraId="29F2C582" w14:textId="77777777" w:rsidR="008D0767" w:rsidRDefault="00226115">
            <w:pPr>
              <w:spacing w:before="60" w:after="60" w:line="360" w:lineRule="auto"/>
              <w:jc w:val="center"/>
            </w:pPr>
            <w:r>
              <w:rPr>
                <w:sz w:val="20"/>
                <w:szCs w:val="20"/>
              </w:rPr>
              <w:t>2025–2026</w:t>
            </w:r>
          </w:p>
        </w:tc>
        <w:tc>
          <w:tcPr>
            <w:tcW w:w="1885" w:type="dxa"/>
          </w:tcPr>
          <w:p w14:paraId="618FE610" w14:textId="77777777" w:rsidR="008D0767" w:rsidRDefault="00226115">
            <w:pPr>
              <w:spacing w:before="60" w:after="60" w:line="360" w:lineRule="auto"/>
              <w:jc w:val="center"/>
            </w:pPr>
            <w:r>
              <w:rPr>
                <w:sz w:val="20"/>
                <w:szCs w:val="20"/>
              </w:rPr>
              <w:t>NITI Aayog</w:t>
            </w:r>
          </w:p>
        </w:tc>
      </w:tr>
      <w:tr w:rsidR="008D0767" w14:paraId="043D4BCE" w14:textId="77777777" w:rsidTr="00C53B94">
        <w:trPr>
          <w:trHeight w:val="815"/>
        </w:trPr>
        <w:tc>
          <w:tcPr>
            <w:tcW w:w="538" w:type="dxa"/>
          </w:tcPr>
          <w:p w14:paraId="2859BD39" w14:textId="77777777" w:rsidR="008D0767" w:rsidRDefault="00226115">
            <w:pPr>
              <w:spacing w:before="60" w:after="60" w:line="360" w:lineRule="auto"/>
              <w:jc w:val="center"/>
            </w:pPr>
            <w:r>
              <w:rPr>
                <w:sz w:val="20"/>
                <w:szCs w:val="20"/>
              </w:rPr>
              <w:t>9</w:t>
            </w:r>
          </w:p>
        </w:tc>
        <w:tc>
          <w:tcPr>
            <w:tcW w:w="3771" w:type="dxa"/>
          </w:tcPr>
          <w:p w14:paraId="15BD01EF" w14:textId="77777777" w:rsidR="008D0767" w:rsidRDefault="00226115">
            <w:pPr>
              <w:spacing w:before="60" w:after="60" w:line="360" w:lineRule="auto"/>
              <w:jc w:val="center"/>
            </w:pPr>
            <w:r>
              <w:rPr>
                <w:sz w:val="20"/>
                <w:szCs w:val="20"/>
              </w:rPr>
              <w:t>Skill development: 500,000 EV technicians by 2028</w:t>
            </w:r>
          </w:p>
        </w:tc>
        <w:tc>
          <w:tcPr>
            <w:tcW w:w="1212" w:type="dxa"/>
          </w:tcPr>
          <w:p w14:paraId="0EFFF994" w14:textId="77777777" w:rsidR="008D0767" w:rsidRDefault="00226115">
            <w:pPr>
              <w:spacing w:before="60" w:after="60" w:line="360" w:lineRule="auto"/>
              <w:jc w:val="center"/>
            </w:pPr>
            <w:r>
              <w:rPr>
                <w:sz w:val="20"/>
                <w:szCs w:val="20"/>
              </w:rPr>
              <w:t>Medium</w:t>
            </w:r>
          </w:p>
        </w:tc>
        <w:tc>
          <w:tcPr>
            <w:tcW w:w="1346" w:type="dxa"/>
          </w:tcPr>
          <w:p w14:paraId="0D166EBF" w14:textId="77777777" w:rsidR="008D0767" w:rsidRDefault="00226115">
            <w:pPr>
              <w:spacing w:before="60" w:after="60" w:line="360" w:lineRule="auto"/>
              <w:jc w:val="center"/>
            </w:pPr>
            <w:r>
              <w:rPr>
                <w:sz w:val="20"/>
                <w:szCs w:val="20"/>
              </w:rPr>
              <w:t>2025–2028</w:t>
            </w:r>
          </w:p>
        </w:tc>
        <w:tc>
          <w:tcPr>
            <w:tcW w:w="1885" w:type="dxa"/>
          </w:tcPr>
          <w:p w14:paraId="30A34FE8" w14:textId="77777777" w:rsidR="008D0767" w:rsidRDefault="00226115">
            <w:pPr>
              <w:spacing w:before="60" w:after="60" w:line="360" w:lineRule="auto"/>
              <w:jc w:val="center"/>
            </w:pPr>
            <w:r>
              <w:rPr>
                <w:sz w:val="20"/>
                <w:szCs w:val="20"/>
              </w:rPr>
              <w:t>MSDE</w:t>
            </w:r>
          </w:p>
        </w:tc>
      </w:tr>
      <w:tr w:rsidR="008D0767" w14:paraId="0C594333" w14:textId="77777777" w:rsidTr="00C53B94">
        <w:trPr>
          <w:trHeight w:val="815"/>
        </w:trPr>
        <w:tc>
          <w:tcPr>
            <w:tcW w:w="538" w:type="dxa"/>
          </w:tcPr>
          <w:p w14:paraId="3E91CD1E" w14:textId="77777777" w:rsidR="008D0767" w:rsidRDefault="00226115">
            <w:pPr>
              <w:spacing w:before="60" w:after="60" w:line="360" w:lineRule="auto"/>
              <w:jc w:val="center"/>
            </w:pPr>
            <w:r>
              <w:rPr>
                <w:sz w:val="20"/>
                <w:szCs w:val="20"/>
              </w:rPr>
              <w:t>10</w:t>
            </w:r>
          </w:p>
        </w:tc>
        <w:tc>
          <w:tcPr>
            <w:tcW w:w="3771" w:type="dxa"/>
          </w:tcPr>
          <w:p w14:paraId="7A76C2F9" w14:textId="77777777" w:rsidR="008D0767" w:rsidRDefault="00226115">
            <w:pPr>
              <w:spacing w:before="60" w:after="60" w:line="360" w:lineRule="auto"/>
              <w:jc w:val="center"/>
            </w:pPr>
            <w:r>
              <w:rPr>
                <w:sz w:val="20"/>
                <w:szCs w:val="20"/>
              </w:rPr>
              <w:t>Battery raw material supply agreements with Australia, Chile</w:t>
            </w:r>
          </w:p>
        </w:tc>
        <w:tc>
          <w:tcPr>
            <w:tcW w:w="1212" w:type="dxa"/>
          </w:tcPr>
          <w:p w14:paraId="3922CACF" w14:textId="77777777" w:rsidR="008D0767" w:rsidRDefault="00226115">
            <w:pPr>
              <w:spacing w:before="60" w:after="60" w:line="360" w:lineRule="auto"/>
              <w:jc w:val="center"/>
            </w:pPr>
            <w:r>
              <w:rPr>
                <w:sz w:val="20"/>
                <w:szCs w:val="20"/>
              </w:rPr>
              <w:t>High</w:t>
            </w:r>
          </w:p>
        </w:tc>
        <w:tc>
          <w:tcPr>
            <w:tcW w:w="1346" w:type="dxa"/>
          </w:tcPr>
          <w:p w14:paraId="06CB46E3" w14:textId="77777777" w:rsidR="008D0767" w:rsidRDefault="00226115">
            <w:pPr>
              <w:spacing w:before="60" w:after="60" w:line="360" w:lineRule="auto"/>
              <w:jc w:val="center"/>
            </w:pPr>
            <w:r>
              <w:rPr>
                <w:sz w:val="20"/>
                <w:szCs w:val="20"/>
              </w:rPr>
              <w:t>Immediate</w:t>
            </w:r>
          </w:p>
        </w:tc>
        <w:tc>
          <w:tcPr>
            <w:tcW w:w="1885" w:type="dxa"/>
          </w:tcPr>
          <w:p w14:paraId="3F6B2438" w14:textId="77777777" w:rsidR="008D0767" w:rsidRDefault="00226115">
            <w:pPr>
              <w:spacing w:before="60" w:after="60" w:line="360" w:lineRule="auto"/>
              <w:jc w:val="center"/>
            </w:pPr>
            <w:r>
              <w:rPr>
                <w:sz w:val="20"/>
                <w:szCs w:val="20"/>
              </w:rPr>
              <w:t>MEA / Commerce</w:t>
            </w:r>
          </w:p>
        </w:tc>
      </w:tr>
    </w:tbl>
    <w:p w14:paraId="5773C09C" w14:textId="77777777" w:rsidR="008D0767" w:rsidRDefault="008D0767"/>
    <w:p w14:paraId="3D090E45" w14:textId="3D9A702D" w:rsidR="00D54F06" w:rsidRDefault="00226115" w:rsidP="000F34B4">
      <w:pPr>
        <w:spacing w:after="120"/>
        <w:jc w:val="both"/>
        <w:rPr>
          <w:b/>
          <w:bCs/>
        </w:rPr>
      </w:pPr>
      <w:r>
        <w:t>A caveat applies to all ten items: the timelines assume the infrastructure-financing items (2, 4, 7) are funded at or near the levels indicated. FAME II's experience—where 69% of a ₹11,500 crore allocation was utilised over five years, and the scheme still left India at 7% EV penetration against a 30% target—is a reminder that fund allocation and fund utilisation are not the same thing (Ministry of Heavy Industries, 2024). The owners listed in the table are accountable for initiating these actions; sustained utilisation tracking, ideally through the live scenario tool proposed in Section 9.2, would be needed to assess whether the timelines remain realistic as implementation proceeds.</w:t>
      </w:r>
    </w:p>
    <w:p w14:paraId="1F75493B" w14:textId="77777777" w:rsidR="00D54F06" w:rsidRDefault="00D54F06" w:rsidP="584F4E83">
      <w:pPr>
        <w:pStyle w:val="Heading1"/>
        <w:spacing w:before="240" w:after="120"/>
        <w:rPr>
          <w:b/>
          <w:bCs/>
          <w:sz w:val="24"/>
          <w:szCs w:val="24"/>
        </w:rPr>
      </w:pPr>
    </w:p>
    <w:p w14:paraId="4D62738F" w14:textId="130CD703" w:rsidR="008D0767" w:rsidRDefault="00FF710B">
      <w:pPr>
        <w:pStyle w:val="Heading1"/>
        <w:spacing w:before="240" w:after="120"/>
        <w:rPr>
          <w:sz w:val="28"/>
          <w:szCs w:val="28"/>
        </w:rPr>
      </w:pPr>
      <w:r>
        <w:rPr>
          <w:b/>
          <w:bCs/>
          <w:sz w:val="28"/>
          <w:szCs w:val="28"/>
        </w:rPr>
        <w:lastRenderedPageBreak/>
        <w:t>10.</w:t>
      </w:r>
      <w:r w:rsidR="00226115">
        <w:rPr>
          <w:b/>
          <w:bCs/>
          <w:sz w:val="28"/>
          <w:szCs w:val="28"/>
        </w:rPr>
        <w:t>Conclusions</w:t>
      </w:r>
    </w:p>
    <w:p w14:paraId="54F81468" w14:textId="77777777" w:rsidR="008D0767" w:rsidRDefault="00226115">
      <w:pPr>
        <w:spacing w:after="120"/>
        <w:jc w:val="both"/>
      </w:pPr>
      <w:r>
        <w:t>XGBoost did not outperform ARIMA because it is architecturally superior — it did so because oil price and charging infrastructure were available to it as inputs and withheld from ARIMA by design. This is consistent with Wang et al. (2024), where the value of hybrid approaches comes from combining ARIMA's time-series structure with XGBoost's ability to model non-linear relationships against explanatory variables.</w:t>
      </w:r>
    </w:p>
    <w:p w14:paraId="4C33C35B" w14:textId="77777777" w:rsidR="008D0767" w:rsidRDefault="00226115">
      <w:pPr>
        <w:spacing w:after="120"/>
        <w:jc w:val="both"/>
      </w:pPr>
      <w:r>
        <w:t>The practical consequence is that the ARIMA-IEA STEPS convergence often read elsewhere as independent corroboration instead reflects two trend-extrapolation methods sharing the same blind spot. Both would be silent on the question that matters most to a policymaker or investor: what happens to EV adoption if oil prices fall sharply, or if charger rollout stalls. XGBoost's 2030 projection of 41.4 million units is the most causally grounded of the four scenarios tested. It is not a validated prediction; the absence of a held-out test period (Section 5.5) limits what can be claimed about its accuracy.</w:t>
      </w:r>
    </w:p>
    <w:p w14:paraId="6A6CD4C0" w14:textId="68CE3933" w:rsidR="584F4E83" w:rsidRDefault="584F4E83" w:rsidP="000F34B4">
      <w:pPr>
        <w:spacing w:after="120"/>
        <w:jc w:val="both"/>
        <w:rPr>
          <w:b/>
          <w:bCs/>
        </w:rPr>
      </w:pPr>
      <w:r>
        <w:t xml:space="preserve">On the India question, the comparison to China's 2015–2017 inflection point (Section 5.7) suggests India is at an earlier and more fragile stage of the same transition. FAME II concluded in March 2024 with roughly 69% of its allocated funds utilised, and EVs accounted for just 7% of vehicle sales in FY2023–24—well below the 30% target for 2030 (Ministry of Heavy Industries, 2024). Reaching that 30% target is estimated to require around 1.32 million public charging stations, against the roughly 88,000 in place by end-2025 (IEA, 2026). China's 2015 policy decision was backed by sustained infrastructure spending that took nearly a decade to pay off. India is at a comparable decision point now. Whether it follows a similar trajectory depends less on policy ambition — which is largely in place — and more on whether the infrastructure investment implied by that ambition materialises on the timeline the targets assume. The global stakes are real. If India moves at the pace that the infrastructure trajectory in this study requires, it becomes a major anchor market for the EV supply chain over the next </w:t>
      </w:r>
      <w:r>
        <w:lastRenderedPageBreak/>
        <w:t>decade. If it does not, global battery demand projections, oil displacement forecasts, and OEM capacity plans built around an India assumption will need to be revised downward. The question this paper addresses is therefore not only a domestic policy question. It is a question that belongs in the planning assumptions of any organisation with a material stake in the global energy transition.</w:t>
      </w:r>
    </w:p>
    <w:p w14:paraId="6C2AC05C" w14:textId="25CB14FA" w:rsidR="008D0767" w:rsidRDefault="00FF710B">
      <w:pPr>
        <w:pStyle w:val="Heading2"/>
        <w:spacing w:before="200" w:after="100"/>
      </w:pPr>
      <w:r>
        <w:rPr>
          <w:b/>
          <w:bCs/>
          <w:sz w:val="24"/>
          <w:szCs w:val="24"/>
        </w:rPr>
        <w:t>10</w:t>
      </w:r>
      <w:r w:rsidR="00226115">
        <w:rPr>
          <w:b/>
          <w:bCs/>
          <w:sz w:val="24"/>
          <w:szCs w:val="24"/>
        </w:rPr>
        <w:t>.1 Limitations</w:t>
      </w:r>
    </w:p>
    <w:p w14:paraId="3F2277DE" w14:textId="77777777" w:rsidR="008D0767" w:rsidRDefault="00226115">
      <w:pPr>
        <w:spacing w:after="120"/>
        <w:jc w:val="both"/>
      </w:pPr>
      <w:r>
        <w:t>Data quality and coverage present a first limitation. India's public charging numbers come from secondary sources, and definitions matter. Whether 'public charger' includes mall or hotel chargers, or only government-registered fast chargers, can shift the reported count significantly. The 12,000-charger figure for 2023 and the 88,000-point figure for end-2025 come from different reporting frameworks, so the year-over-year jump should be read with caution.</w:t>
      </w:r>
    </w:p>
    <w:p w14:paraId="285D4F99" w14:textId="77777777" w:rsidR="008D0767" w:rsidRDefault="00226115">
      <w:pPr>
        <w:spacing w:after="120"/>
        <w:jc w:val="both"/>
      </w:pPr>
      <w:r>
        <w:t>The absence of a held-out test period is a second limitation. All four models were trained on the full 2010–2023 dataset. The R² and MAPE numbers in Table 2 reflect in-sample fit, not out-of-sample predictive accuracy. A model can hit R² = 1.0000 on training data and still produce a forecast that makes no sense—Polynomial Regression does exactly this. XGBoost's strong fit shows it can represent the relationship between features and sales; it does not confirm the 2030 number will be right.</w:t>
      </w:r>
    </w:p>
    <w:p w14:paraId="1EC37328" w14:textId="77777777" w:rsidR="008D0767" w:rsidRDefault="00226115">
      <w:pPr>
        <w:spacing w:after="120"/>
        <w:jc w:val="both"/>
      </w:pPr>
      <w:r>
        <w:t>The time series is short. Thirteen years of annual data is sufficient to fit these models but not enough for them to have encountered more than one adoption cycle and one structural break, namely the COVID-19 demand collapse in 2020. A second break whether a battery technology shift, an oil price collapse, or a major policy reversal is something none of these models have any experience with.</w:t>
      </w:r>
    </w:p>
    <w:p w14:paraId="4B257F73" w14:textId="77777777" w:rsidR="008D0767" w:rsidRDefault="00226115">
      <w:pPr>
        <w:spacing w:after="120"/>
        <w:jc w:val="both"/>
      </w:pPr>
      <w:r>
        <w:lastRenderedPageBreak/>
        <w:t>The India analysis is national, but EV adoption varies widely by state. Maharashtra, Delhi, Karnataka, and Rajasthan lead; Bihar and Odisha remain largely without infrastructure. A national forecast may be directionally correct while obscuring distinct state-level problems.</w:t>
      </w:r>
    </w:p>
    <w:p w14:paraId="78974846" w14:textId="77777777" w:rsidR="008D0767" w:rsidRDefault="00226115">
      <w:pPr>
        <w:spacing w:after="120"/>
        <w:jc w:val="both"/>
      </w:pPr>
      <w:r>
        <w:t>The China-India benchmark aligns the two countries on EV penetration rate alone, controlling for time-lag but not for differences in industrial policy capacity, the state-versus-private investment mix, or manufacturing base. It says something about scale and sequencing; it does not guarantee the same playbook works here.</w:t>
      </w:r>
    </w:p>
    <w:p w14:paraId="5EBC9C0A" w14:textId="77777777" w:rsidR="00363566" w:rsidRPr="000F34B4" w:rsidRDefault="006A200A">
      <w:pPr>
        <w:spacing w:before="120" w:after="160"/>
        <w:jc w:val="both"/>
      </w:pPr>
      <w:r w:rsidRPr="000F34B4">
        <w:rPr>
          <w:b/>
          <w:bCs/>
        </w:rPr>
        <w:t xml:space="preserve">How much weight to put on these numbers: </w:t>
      </w:r>
      <w:r w:rsidRPr="000F34B4">
        <w:t>None of these limitations undermine the paper’s central finding that infrastructure is the binding constraint, but together they argue for treating the specific 2030 figures as a planning range rather than a forecast to commit capital against without a margin of safety. A decision-maker acting on this study should build in the kind of staged, milestone-gated approach recommended in Section 8.5.3, rather than a single upfront commitment sized to the point estimate.</w:t>
      </w:r>
    </w:p>
    <w:p w14:paraId="04BB1A28" w14:textId="11D65DDD" w:rsidR="008D0767" w:rsidRDefault="00FF710B">
      <w:pPr>
        <w:pStyle w:val="Heading2"/>
        <w:spacing w:before="200" w:after="100"/>
      </w:pPr>
      <w:r>
        <w:rPr>
          <w:b/>
          <w:bCs/>
          <w:sz w:val="24"/>
          <w:szCs w:val="24"/>
        </w:rPr>
        <w:t>10</w:t>
      </w:r>
      <w:r w:rsidR="00226115">
        <w:rPr>
          <w:b/>
          <w:bCs/>
          <w:sz w:val="24"/>
          <w:szCs w:val="24"/>
        </w:rPr>
        <w:t>.2 Avenues of Future Research</w:t>
      </w:r>
    </w:p>
    <w:p w14:paraId="18E720F0" w14:textId="77777777" w:rsidR="008D0767" w:rsidRDefault="00226115">
      <w:pPr>
        <w:spacing w:after="120"/>
        <w:jc w:val="both"/>
      </w:pPr>
      <w:r>
        <w:t>Battery pack cost is the most important missing variable. Down roughly 88% since 2010, it remains the main barrier to price parity in India, where most buyers prioritise sticker price over fuel cost. Adding it as a fourth feature would give the model the variable that decides whether a buyer in Pune or Patna actually switches.</w:t>
      </w:r>
    </w:p>
    <w:p w14:paraId="75E757B3" w14:textId="77777777" w:rsidR="008D0767" w:rsidRDefault="00226115">
      <w:pPr>
        <w:spacing w:after="120"/>
        <w:jc w:val="both"/>
      </w:pPr>
      <w:r>
        <w:t>State-level modelling would be a more granular and more useful extension of this work. Maharashtra's problem is a charging gap. Rajasthan has renewable power capacity relative to grid demand. Bihar barely has infrastructure at all. These are not the same problem, and a national number papers over that. Running this study's approach separately for each major state—with fuel price differentials standing in for oil price—would show which states are near their own inflection point and which still have a long way to go (Kapoor &amp; Patel, 2023).</w:t>
      </w:r>
    </w:p>
    <w:p w14:paraId="471C56ED" w14:textId="77777777" w:rsidR="008D0767" w:rsidRDefault="00226115">
      <w:pPr>
        <w:spacing w:after="120"/>
        <w:jc w:val="both"/>
      </w:pPr>
      <w:r>
        <w:lastRenderedPageBreak/>
        <w:t>Quarterly data refresh would let NITI Aayog or a designated agency re-run the model after any oil shock or deployment update, rather than waiting a year. Each quarter's actual numbers would also serve as out-of-sample tests, building the forecast track record a single 13-year training run cannot generate.</w:t>
      </w:r>
    </w:p>
    <w:p w14:paraId="253FA754" w14:textId="77777777" w:rsidR="008D0767" w:rsidRDefault="00226115">
      <w:pPr>
        <w:spacing w:after="120"/>
        <w:jc w:val="both"/>
      </w:pPr>
      <w:r>
        <w:t>Extending the benchmark to Indonesia or Vietnam — earlier in their EV journeys but with published investment data — would separate what is India-specific from what is common to all large cost-sensitive economies transitioning from near-zero.</w:t>
      </w:r>
    </w:p>
    <w:p w14:paraId="16030434" w14:textId="77777777" w:rsidR="00363566" w:rsidRPr="000F34B4" w:rsidRDefault="006A200A">
      <w:pPr>
        <w:spacing w:before="120" w:after="160"/>
        <w:jc w:val="both"/>
      </w:pPr>
      <w:r w:rsidRPr="000F34B4">
        <w:rPr>
          <w:b/>
          <w:bCs/>
        </w:rPr>
        <w:t xml:space="preserve">The operational payoff of closing these gaps: </w:t>
      </w:r>
      <w:r w:rsidRPr="000F34B4">
        <w:t>Each extension has an immediate user in mind. Battery-cost data would let manufacturers time price-parity decisions rather than guess at them. State-level models would let companies and state governments target investment where it is actually needed instead of managing to a national average. Quarterly refresh would let an investment committee or ministry update its position within a quarter of a shock, rather than carrying a stale annual number through an entire budget cycle.</w:t>
      </w:r>
    </w:p>
    <w:p w14:paraId="0CC50BB2" w14:textId="77777777" w:rsidR="008D0767" w:rsidRDefault="008D0767"/>
    <w:p w14:paraId="71871FF1" w14:textId="2B5D7A68" w:rsidR="008D0767" w:rsidRPr="00D54F06" w:rsidRDefault="00226115">
      <w:pPr>
        <w:pStyle w:val="Heading1"/>
        <w:spacing w:before="240" w:after="120"/>
        <w:rPr>
          <w:sz w:val="28"/>
          <w:szCs w:val="28"/>
        </w:rPr>
      </w:pPr>
      <w:r>
        <w:rPr>
          <w:b/>
          <w:bCs/>
          <w:sz w:val="28"/>
          <w:szCs w:val="28"/>
        </w:rPr>
        <w:t>References</w:t>
      </w:r>
    </w:p>
    <w:p w14:paraId="67E153A3" w14:textId="77777777" w:rsidR="008D0767" w:rsidRDefault="00226115">
      <w:pPr>
        <w:spacing w:after="80"/>
        <w:ind w:left="720" w:hanging="720"/>
        <w:jc w:val="both"/>
      </w:pPr>
      <w:r>
        <w:t>Bai, S., Liu, C., &amp; Feng, T. (2022). Charging infrastructure and EV adoption: Province-level panel evidence from China. Transportation Research Part D: Transport and Environment, 103, 103172.</w:t>
      </w:r>
    </w:p>
    <w:p w14:paraId="4A52946B" w14:textId="77777777" w:rsidR="008D0767" w:rsidRDefault="00226115">
      <w:pPr>
        <w:spacing w:after="80"/>
        <w:ind w:left="720" w:hanging="720"/>
        <w:jc w:val="both"/>
      </w:pPr>
      <w:r>
        <w:t>Biernat-Jarka, A., Trebska, P., &amp; Lisowska-Mieszkowska, E. (2021). The role of electric vehicles in reducing air pollution in cities in the context of sustainable development. Energies, 14(20), 6744.</w:t>
      </w:r>
    </w:p>
    <w:p w14:paraId="5D149E8B" w14:textId="77777777" w:rsidR="008D0767" w:rsidRDefault="00226115">
      <w:pPr>
        <w:spacing w:after="80"/>
        <w:ind w:left="720" w:hanging="720"/>
        <w:jc w:val="both"/>
      </w:pPr>
      <w:r>
        <w:t>Egbue, O., &amp; Long, S. (2012). Barriers to widespread adoption of electric vehicles: An analysis of consumer attitudes and perceptions. Energy Policy, 48, 717–729.</w:t>
      </w:r>
    </w:p>
    <w:p w14:paraId="7B1313E2" w14:textId="77777777" w:rsidR="008D0767" w:rsidRDefault="00226115">
      <w:pPr>
        <w:spacing w:after="80"/>
        <w:ind w:left="720" w:hanging="720"/>
        <w:jc w:val="both"/>
      </w:pPr>
      <w:r>
        <w:lastRenderedPageBreak/>
        <w:t>Gallagher, K. S., &amp; Muehlegger, E. (2011). Giving green to get green? Incentives and consumer adoption of hybrid vehicle technology. Journal of Environmental Economics and Management, 61(1), 1–15.</w:t>
      </w:r>
    </w:p>
    <w:p w14:paraId="25EEB9B1" w14:textId="77777777" w:rsidR="008D0767" w:rsidRDefault="00226115">
      <w:pPr>
        <w:spacing w:after="80"/>
        <w:ind w:left="720" w:hanging="720"/>
        <w:jc w:val="both"/>
      </w:pPr>
      <w:r>
        <w:t>Gnann, T., Funke, S., Jakobsson, N., Plötz, P., Sprei, F., &amp; Bennehag, A. (2018). Fast charging infrastructure for electric vehicles: Today's situation and future needs. Transportation Research Part D: Transport and Environment, 62, 314–329.</w:t>
      </w:r>
    </w:p>
    <w:p w14:paraId="5256870D" w14:textId="77777777" w:rsidR="008D0767" w:rsidRDefault="00226115">
      <w:pPr>
        <w:spacing w:after="80"/>
        <w:ind w:left="720" w:hanging="720"/>
        <w:jc w:val="both"/>
      </w:pPr>
      <w:r>
        <w:t>Hao, H., Liu, Z., Zhao, F., &amp; Geng, J. (2021). Ensemble machine learning for EV demand forecasting: Evidence from China's passenger market. Journal of Cleaner Production, 296, 126547.</w:t>
      </w:r>
    </w:p>
    <w:p w14:paraId="5C87F010" w14:textId="77777777" w:rsidR="008D0767" w:rsidRDefault="00226115">
      <w:pPr>
        <w:spacing w:after="80"/>
        <w:ind w:left="720" w:hanging="720"/>
        <w:jc w:val="both"/>
      </w:pPr>
      <w:r>
        <w:t>Helveston, J. P., Liu, Y., Feit, E. M., Fuchs, E., Klampfl, E., &amp; Michalek, J. J. (2015). Will subsidies drive electric vehicle adoption? Measuring consumer preferences in the U.S. and China. Transportation Research Part A: Policy and Practice, 73, 96–112.</w:t>
      </w:r>
    </w:p>
    <w:p w14:paraId="661176B1" w14:textId="77777777" w:rsidR="008D0767" w:rsidRDefault="00226115">
      <w:pPr>
        <w:spacing w:after="80"/>
        <w:ind w:left="720" w:hanging="720"/>
        <w:jc w:val="both"/>
      </w:pPr>
      <w:r>
        <w:t>International Energy Agency. (2026). Global EV Outlook 2026. IEA Publications, Paris. https://www.iea.org/reports/global-ev-outlook-2026</w:t>
      </w:r>
    </w:p>
    <w:p w14:paraId="47035F2F" w14:textId="77777777" w:rsidR="008D0767" w:rsidRDefault="00226115">
      <w:pPr>
        <w:spacing w:after="80"/>
        <w:ind w:left="720" w:hanging="720"/>
        <w:jc w:val="both"/>
      </w:pPr>
      <w:r>
        <w:t>Kapoor, R., &amp; Patel, A. (2023). State-level heterogeneity in India's electric vehicle adoption: Infrastructure distribution and regional disparities. Energy for Sustainable Development, 74, 101–115.</w:t>
      </w:r>
    </w:p>
    <w:p w14:paraId="676763B7" w14:textId="77777777" w:rsidR="008D0767" w:rsidRDefault="00226115">
      <w:pPr>
        <w:spacing w:after="80"/>
        <w:ind w:left="720" w:hanging="720"/>
        <w:jc w:val="both"/>
      </w:pPr>
      <w:r>
        <w:t>Kumar, R., &amp; Bhattacharyya, S. (2021). Charging infrastructure and EV purchasing intent in Southeast Asian cities. Energy Policy, 158, 112570.</w:t>
      </w:r>
    </w:p>
    <w:p w14:paraId="046954ED" w14:textId="77777777" w:rsidR="008D0767" w:rsidRDefault="00226115">
      <w:pPr>
        <w:spacing w:after="80"/>
        <w:ind w:left="720" w:hanging="720"/>
        <w:jc w:val="both"/>
      </w:pPr>
      <w:r>
        <w:t>Li, M., Chen, J., &amp; Bertolucci, M. (2023). Oil price elasticity of electric vehicle demand: Panel evidence from 27 EU member states. Energy Economics, 121, 106641.</w:t>
      </w:r>
    </w:p>
    <w:p w14:paraId="57EBBBB9" w14:textId="77777777" w:rsidR="008D0767" w:rsidRDefault="00226115">
      <w:pPr>
        <w:spacing w:after="80"/>
        <w:ind w:left="720" w:hanging="720"/>
        <w:jc w:val="both"/>
      </w:pPr>
      <w:r>
        <w:t>Liu, Z., Chen, X., &amp; Wang, Y. (2022). Electric vehicle sales forecasting using gradient boosting: A feature-aware approach. Journal of Cleaner Production, 330, 129817.</w:t>
      </w:r>
    </w:p>
    <w:p w14:paraId="098D87D2" w14:textId="77777777" w:rsidR="008D0767" w:rsidRDefault="00226115">
      <w:pPr>
        <w:spacing w:after="80"/>
        <w:ind w:left="720" w:hanging="720"/>
        <w:jc w:val="both"/>
      </w:pPr>
      <w:r>
        <w:lastRenderedPageBreak/>
        <w:t>Luthra, S., Kumar, A., Zavadskas, E. K., Mangla, S. K., &amp; Garza-Reyes, J. A. (2020). Industry 4.0 as an enabler of sustainability diffusion in supply chain. International Journal of Production Research, 58(5), 1505–1521.</w:t>
      </w:r>
    </w:p>
    <w:p w14:paraId="15A02E13" w14:textId="77777777" w:rsidR="008D0767" w:rsidRDefault="00226115">
      <w:pPr>
        <w:spacing w:after="80"/>
        <w:ind w:left="720" w:hanging="720"/>
        <w:jc w:val="both"/>
      </w:pPr>
      <w:r>
        <w:t>Ministry of Heavy Industries, Government of India. (2024). FAME India Scheme Phase II: Final utilisation report. MHI, New Delhi.</w:t>
      </w:r>
    </w:p>
    <w:p w14:paraId="3D145DE1" w14:textId="77777777" w:rsidR="008D0767" w:rsidRDefault="00226115">
      <w:pPr>
        <w:spacing w:after="80"/>
        <w:ind w:left="720" w:hanging="720"/>
        <w:jc w:val="both"/>
      </w:pPr>
      <w:r>
        <w:t>Narayanan, V., Sharma, D., &amp; Rao, P. (2024). Subsidy structure and 2-wheeler EV adoption in India under PM E-DRIVE. Energy Policy, 186, 114003.</w:t>
      </w:r>
    </w:p>
    <w:p w14:paraId="51624572" w14:textId="77777777" w:rsidR="008D0767" w:rsidRDefault="00226115">
      <w:pPr>
        <w:spacing w:after="80"/>
        <w:ind w:left="720" w:hanging="720"/>
        <w:jc w:val="both"/>
      </w:pPr>
      <w:r>
        <w:t>Shaikh, P. H., Nor, N. B. M., Sahito, A. A., Nallagownden, P., Elamvazuthi, I., &amp; Shaikh, M. S. (2020). Comparison of ARIMA and gradient boosting for transport demand forecasting. IEEE Access, 8, 63212–63224.</w:t>
      </w:r>
    </w:p>
    <w:p w14:paraId="420F15E8" w14:textId="77777777" w:rsidR="008D0767" w:rsidRDefault="00226115">
      <w:pPr>
        <w:spacing w:after="80"/>
        <w:ind w:left="720" w:hanging="720"/>
        <w:jc w:val="both"/>
      </w:pPr>
      <w:r>
        <w:t>Sharma, R., Mehta, P., &amp; Krishnaswamy, J. (2023). Consumer barriers to electric vehicle adoption in India: A survey of 1,200 potential buyers. Transport Policy, 134, 145–158.</w:t>
      </w:r>
    </w:p>
    <w:p w14:paraId="57C849E9" w14:textId="77777777" w:rsidR="008D0767" w:rsidRDefault="00226115">
      <w:pPr>
        <w:spacing w:after="80"/>
        <w:ind w:left="720" w:hanging="720"/>
        <w:jc w:val="both"/>
      </w:pPr>
      <w:r>
        <w:t>Sierzchula, W., Bakker, S., Maat, K., &amp; van Wee, B. (2014). The influence of financial incentives and other socio-economic factors on electric vehicle adoption. Energy Policy, 68, 183–194.</w:t>
      </w:r>
    </w:p>
    <w:p w14:paraId="39C84750" w14:textId="77777777" w:rsidR="008D0767" w:rsidRDefault="00226115">
      <w:pPr>
        <w:spacing w:after="80"/>
        <w:ind w:left="720" w:hanging="720"/>
        <w:jc w:val="both"/>
      </w:pPr>
      <w:r>
        <w:t>Singh, A., &amp; Verma, A. (2024). Total cost of ownership parity and EV market segmentation in India: Implications for consumer financing. Energy for Sustainable Development, 79, 101382.</w:t>
      </w:r>
    </w:p>
    <w:p w14:paraId="53648F78" w14:textId="77777777" w:rsidR="008D0767" w:rsidRDefault="00226115">
      <w:pPr>
        <w:spacing w:after="80"/>
        <w:ind w:left="720" w:hanging="720"/>
        <w:jc w:val="both"/>
      </w:pPr>
      <w:r>
        <w:t>Tanksale, A. N., &amp; Jain, P. K. (2022). Electric vehicle penetration in India under FAME II: A policy simulation study. Energy for Sustainable Development, 67, 100–115.</w:t>
      </w:r>
    </w:p>
    <w:p w14:paraId="720E7524" w14:textId="182ADD22" w:rsidR="008D0767" w:rsidRDefault="008D0767">
      <w:pPr>
        <w:spacing w:after="80"/>
        <w:ind w:left="720" w:hanging="720"/>
        <w:jc w:val="both"/>
      </w:pPr>
    </w:p>
    <w:sectPr w:rsidR="008D0767" w:rsidSect="001623E1">
      <w:footerReference w:type="default" r:id="rId13"/>
      <w:pgSz w:w="11906" w:h="16838"/>
      <w:pgMar w:top="1440" w:right="1440" w:bottom="117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13C9A" w14:textId="77777777" w:rsidR="00392DFC" w:rsidRDefault="00392DFC">
      <w:pPr>
        <w:spacing w:line="240" w:lineRule="auto"/>
      </w:pPr>
      <w:r>
        <w:separator/>
      </w:r>
    </w:p>
  </w:endnote>
  <w:endnote w:type="continuationSeparator" w:id="0">
    <w:p w14:paraId="4408239F" w14:textId="77777777" w:rsidR="00392DFC" w:rsidRDefault="00392D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7F9CE" w14:textId="77777777" w:rsidR="00363566" w:rsidRDefault="006A200A">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A6D96" w14:textId="77777777" w:rsidR="00392DFC" w:rsidRDefault="00392DFC">
      <w:pPr>
        <w:spacing w:line="240" w:lineRule="auto"/>
      </w:pPr>
      <w:r>
        <w:separator/>
      </w:r>
    </w:p>
  </w:footnote>
  <w:footnote w:type="continuationSeparator" w:id="0">
    <w:p w14:paraId="0CB204E5" w14:textId="77777777" w:rsidR="00392DFC" w:rsidRDefault="00392DF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612306"/>
    <w:multiLevelType w:val="hybridMultilevel"/>
    <w:tmpl w:val="FE9C60D2"/>
    <w:lvl w:ilvl="0" w:tplc="EEA4C9CA">
      <w:start w:val="1"/>
      <w:numFmt w:val="bullet"/>
      <w:lvlText w:val="●"/>
      <w:lvlJc w:val="left"/>
      <w:pPr>
        <w:ind w:left="720" w:hanging="360"/>
      </w:pPr>
    </w:lvl>
    <w:lvl w:ilvl="1" w:tplc="DFE4AC92">
      <w:start w:val="1"/>
      <w:numFmt w:val="bullet"/>
      <w:lvlText w:val="○"/>
      <w:lvlJc w:val="left"/>
      <w:pPr>
        <w:ind w:left="1440" w:hanging="360"/>
      </w:pPr>
    </w:lvl>
    <w:lvl w:ilvl="2" w:tplc="0FB86C64">
      <w:start w:val="1"/>
      <w:numFmt w:val="bullet"/>
      <w:lvlText w:val="■"/>
      <w:lvlJc w:val="left"/>
      <w:pPr>
        <w:ind w:left="2160" w:hanging="360"/>
      </w:pPr>
    </w:lvl>
    <w:lvl w:ilvl="3" w:tplc="ABEE4902">
      <w:start w:val="1"/>
      <w:numFmt w:val="bullet"/>
      <w:lvlText w:val="●"/>
      <w:lvlJc w:val="left"/>
      <w:pPr>
        <w:ind w:left="2880" w:hanging="360"/>
      </w:pPr>
    </w:lvl>
    <w:lvl w:ilvl="4" w:tplc="3BA6BE2E">
      <w:start w:val="1"/>
      <w:numFmt w:val="bullet"/>
      <w:lvlText w:val="○"/>
      <w:lvlJc w:val="left"/>
      <w:pPr>
        <w:ind w:left="3600" w:hanging="360"/>
      </w:pPr>
    </w:lvl>
    <w:lvl w:ilvl="5" w:tplc="8536D238">
      <w:start w:val="1"/>
      <w:numFmt w:val="bullet"/>
      <w:lvlText w:val="■"/>
      <w:lvlJc w:val="left"/>
      <w:pPr>
        <w:ind w:left="4320" w:hanging="360"/>
      </w:pPr>
    </w:lvl>
    <w:lvl w:ilvl="6" w:tplc="2C704FBA">
      <w:start w:val="1"/>
      <w:numFmt w:val="bullet"/>
      <w:lvlText w:val="●"/>
      <w:lvlJc w:val="left"/>
      <w:pPr>
        <w:ind w:left="5040" w:hanging="360"/>
      </w:pPr>
    </w:lvl>
    <w:lvl w:ilvl="7" w:tplc="FAF0529A">
      <w:start w:val="1"/>
      <w:numFmt w:val="bullet"/>
      <w:lvlText w:val="●"/>
      <w:lvlJc w:val="left"/>
      <w:pPr>
        <w:ind w:left="5760" w:hanging="360"/>
      </w:pPr>
    </w:lvl>
    <w:lvl w:ilvl="8" w:tplc="35681E04">
      <w:start w:val="1"/>
      <w:numFmt w:val="bullet"/>
      <w:lvlText w:val="●"/>
      <w:lvlJc w:val="left"/>
      <w:pPr>
        <w:ind w:left="6480" w:hanging="360"/>
      </w:pPr>
    </w:lvl>
  </w:abstractNum>
  <w:num w:numId="1" w16cid:durableId="535780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767"/>
    <w:rsid w:val="00020BB8"/>
    <w:rsid w:val="000272E3"/>
    <w:rsid w:val="00074F57"/>
    <w:rsid w:val="000F34B4"/>
    <w:rsid w:val="001623E1"/>
    <w:rsid w:val="00172217"/>
    <w:rsid w:val="00174A77"/>
    <w:rsid w:val="001B76F4"/>
    <w:rsid w:val="00226115"/>
    <w:rsid w:val="002C5A4C"/>
    <w:rsid w:val="00363566"/>
    <w:rsid w:val="00392DFC"/>
    <w:rsid w:val="004231D0"/>
    <w:rsid w:val="004377C6"/>
    <w:rsid w:val="004E5169"/>
    <w:rsid w:val="00562E85"/>
    <w:rsid w:val="005C5929"/>
    <w:rsid w:val="00626AF5"/>
    <w:rsid w:val="00630F14"/>
    <w:rsid w:val="00662694"/>
    <w:rsid w:val="006A200A"/>
    <w:rsid w:val="006E456A"/>
    <w:rsid w:val="006E6E09"/>
    <w:rsid w:val="00700D78"/>
    <w:rsid w:val="007A55CB"/>
    <w:rsid w:val="008025AE"/>
    <w:rsid w:val="00851A06"/>
    <w:rsid w:val="008D0767"/>
    <w:rsid w:val="009459BC"/>
    <w:rsid w:val="00BD42D7"/>
    <w:rsid w:val="00BE6325"/>
    <w:rsid w:val="00BF17B3"/>
    <w:rsid w:val="00C323A4"/>
    <w:rsid w:val="00C36EFA"/>
    <w:rsid w:val="00C53B94"/>
    <w:rsid w:val="00D40726"/>
    <w:rsid w:val="00D4426A"/>
    <w:rsid w:val="00D54F06"/>
    <w:rsid w:val="00D77B94"/>
    <w:rsid w:val="00E84F6E"/>
    <w:rsid w:val="00EF4B4B"/>
    <w:rsid w:val="00F80C91"/>
    <w:rsid w:val="00FF710B"/>
    <w:rsid w:val="584F4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4B3B9"/>
  <w15:docId w15:val="{003CAFC6-61F8-4957-8AF7-3B2FBC708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020BB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39</Pages>
  <Words>9994</Words>
  <Characters>56972</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Pratap Chandra Mandal</cp:lastModifiedBy>
  <cp:revision>23</cp:revision>
  <dcterms:created xsi:type="dcterms:W3CDTF">2026-08-09T18:02:00Z</dcterms:created>
  <dcterms:modified xsi:type="dcterms:W3CDTF">2026-08-10T02:21:00Z</dcterms:modified>
</cp:coreProperties>
</file>