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5407D0" w14:textId="0D876448" w:rsidR="001F1E41" w:rsidRDefault="001F1E41">
      <w:pPr>
        <w:rPr>
          <w:rFonts w:ascii="Arial" w:hAnsi="Arial" w:cs="Arial"/>
          <w:color w:val="222222"/>
        </w:rPr>
      </w:pPr>
      <w:r w:rsidRPr="001F1E41">
        <w:rPr>
          <w:rStyle w:val="Heading1Char"/>
        </w:rPr>
        <w:t>Senior Editor: 1</w:t>
      </w:r>
      <w:r>
        <w:rPr>
          <w:rFonts w:ascii="Arial" w:hAnsi="Arial" w:cs="Arial"/>
          <w:color w:val="222222"/>
        </w:rPr>
        <w:br/>
      </w:r>
      <w:r w:rsidRPr="001F1E41">
        <w:rPr>
          <w:rStyle w:val="Heading3Char"/>
        </w:rPr>
        <w:t>Comments to the Author:</w:t>
      </w:r>
      <w:r>
        <w:rPr>
          <w:rFonts w:ascii="Arial" w:hAnsi="Arial" w:cs="Arial"/>
          <w:color w:val="222222"/>
        </w:rPr>
        <w:br/>
      </w:r>
      <w:r>
        <w:rPr>
          <w:rFonts w:ascii="Arial" w:hAnsi="Arial" w:cs="Arial"/>
          <w:color w:val="222222"/>
          <w:shd w:val="clear" w:color="auto" w:fill="FFFFFF"/>
        </w:rPr>
        <w:t>The review panel has examined the subject manuscript and found several significant technical issues. In particular, many of the primary results lack the required mathematical rigor, physical validity, and reliability for a TAES publication, especially with regards to the atmospheric dephasing model. Thus, Rejection is recommended. However, if the serious technical issues are addressed fully, then a resubmission can be considered.</w:t>
      </w:r>
      <w:r>
        <w:rPr>
          <w:rFonts w:ascii="Arial" w:hAnsi="Arial" w:cs="Arial"/>
          <w:color w:val="222222"/>
        </w:rPr>
        <w:br/>
      </w:r>
      <w:r>
        <w:rPr>
          <w:rFonts w:ascii="Arial" w:hAnsi="Arial" w:cs="Arial"/>
          <w:color w:val="222222"/>
        </w:rPr>
        <w:br/>
      </w:r>
      <w:r w:rsidRPr="001F1E41">
        <w:rPr>
          <w:rStyle w:val="Heading1Char"/>
        </w:rPr>
        <w:t>Associate Editor: 2</w:t>
      </w:r>
      <w:r>
        <w:rPr>
          <w:rFonts w:ascii="Arial" w:hAnsi="Arial" w:cs="Arial"/>
          <w:color w:val="222222"/>
        </w:rPr>
        <w:br/>
      </w:r>
      <w:r w:rsidRPr="001F1E41">
        <w:rPr>
          <w:rStyle w:val="Heading3Char"/>
        </w:rPr>
        <w:t>Comments to the Author:</w:t>
      </w:r>
      <w:r>
        <w:rPr>
          <w:rFonts w:ascii="Arial" w:hAnsi="Arial" w:cs="Arial"/>
          <w:color w:val="222222"/>
        </w:rPr>
        <w:br/>
      </w:r>
      <w:r>
        <w:rPr>
          <w:rFonts w:ascii="Arial" w:hAnsi="Arial" w:cs="Arial"/>
          <w:color w:val="222222"/>
          <w:shd w:val="clear" w:color="auto" w:fill="FFFFFF"/>
        </w:rPr>
        <w:t>Although the paper attempts to address an interesting quantum radar problem, the reviewers raised fundamental concerns about the physical validity, mathematical rigor, and reliability of the main claims.</w:t>
      </w:r>
      <w:r>
        <w:rPr>
          <w:rFonts w:ascii="Arial" w:hAnsi="Arial" w:cs="Arial"/>
          <w:color w:val="222222"/>
          <w:shd w:val="clear" w:color="auto" w:fill="FFFFFF"/>
        </w:rPr>
        <w:t xml:space="preserve"> </w:t>
      </w:r>
      <w:r>
        <w:rPr>
          <w:rFonts w:ascii="Arial" w:hAnsi="Arial" w:cs="Arial"/>
          <w:color w:val="222222"/>
          <w:shd w:val="clear" w:color="auto" w:fill="FFFFFF"/>
        </w:rPr>
        <w:t>In particular, the physical justification of the atmospheric dephasing model and the correlated signal–idler decoherence term is not convincing, and the definition and use of Uhlmann fidelity appear internally inconsistent. Several key theorems, including those related to the Neyman–Pearson detection threshold, the fidelity-QCRB link, the QFIM, and the claimed asymptotic attainability of the QCRB, are not sufficiently justified. The claimed quantum advantage and Heisenberg-like scaling are also not convincingly supported, especially without a rigorous comparison with the classical coherent-state benchmark under the same conditions. Overall, these issues are fundamental and undermine confidence in the manuscript’s theoretical conclusions. Therefore, the manuscript does not meet the level of rigor and quality expected for this journal in its current form.</w:t>
      </w:r>
      <w:r>
        <w:rPr>
          <w:rFonts w:ascii="Arial" w:hAnsi="Arial" w:cs="Arial"/>
          <w:color w:val="222222"/>
        </w:rPr>
        <w:br/>
      </w:r>
      <w:r>
        <w:rPr>
          <w:rFonts w:ascii="Arial" w:hAnsi="Arial" w:cs="Arial"/>
          <w:color w:val="222222"/>
        </w:rPr>
        <w:br/>
      </w:r>
      <w:r w:rsidRPr="001F1E41">
        <w:rPr>
          <w:rStyle w:val="Heading1Char"/>
        </w:rPr>
        <w:t>Reviewers' Comments to the Authors:</w:t>
      </w:r>
      <w:r>
        <w:rPr>
          <w:rFonts w:ascii="Arial" w:hAnsi="Arial" w:cs="Arial"/>
          <w:color w:val="222222"/>
        </w:rPr>
        <w:br/>
      </w:r>
      <w:r w:rsidRPr="001F1E41">
        <w:rPr>
          <w:rStyle w:val="Heading2Char"/>
        </w:rPr>
        <w:t>Reviewer: 1</w:t>
      </w:r>
      <w:r>
        <w:rPr>
          <w:rFonts w:ascii="Arial" w:hAnsi="Arial" w:cs="Arial"/>
          <w:color w:val="222222"/>
        </w:rPr>
        <w:br/>
      </w:r>
      <w:r w:rsidRPr="001F1E41">
        <w:rPr>
          <w:rStyle w:val="Heading3Char"/>
        </w:rPr>
        <w:t>Comments to the Author</w:t>
      </w:r>
      <w:r w:rsidRPr="001F1E41">
        <w:rPr>
          <w:rStyle w:val="Heading3Char"/>
        </w:rPr>
        <w:t>:</w:t>
      </w:r>
      <w:r>
        <w:rPr>
          <w:rFonts w:ascii="Arial" w:hAnsi="Arial" w:cs="Arial"/>
          <w:color w:val="222222"/>
        </w:rPr>
        <w:br/>
      </w:r>
      <w:r>
        <w:rPr>
          <w:rFonts w:ascii="Arial" w:hAnsi="Arial" w:cs="Arial"/>
          <w:color w:val="222222"/>
          <w:shd w:val="clear" w:color="auto" w:fill="FFFFFF"/>
        </w:rPr>
        <w:t xml:space="preserve">This manuscript proposes a theoretical framework for quantum radar based on a dual-arm GKSL master equation and Uhlmann photon fidelity. The manuscript attempts to deeply integrate quantum information theory, open quantum system dynamics, and radar signal detection. However, there are several deficiencies in mathematical rigor and physical interpretation, rendering the reliability of its conclusions questionable. The main problems include an inherent logical contradiction between the definition of fidelity and its application in subsequent theorems, as well as a lack of rigorous mathematical comparison with the classical coherent-state benchmark in the key QFIM derivation and the claimed "quantum advantage". Furthermore, the mathematical derivations are overly concise, which further undermines the reliability of the conclusions. Therefore, a major revision is </w:t>
      </w:r>
      <w:r>
        <w:rPr>
          <w:rFonts w:ascii="Arial" w:hAnsi="Arial" w:cs="Arial"/>
          <w:color w:val="222222"/>
          <w:shd w:val="clear" w:color="auto" w:fill="FFFFFF"/>
        </w:rPr>
        <w:lastRenderedPageBreak/>
        <w:t>recommended.</w:t>
      </w:r>
      <w:r>
        <w:rPr>
          <w:rFonts w:ascii="Arial" w:hAnsi="Arial" w:cs="Arial"/>
          <w:color w:val="222222"/>
        </w:rPr>
        <w:br/>
      </w:r>
      <w:r>
        <w:rPr>
          <w:rFonts w:ascii="Arial" w:hAnsi="Arial" w:cs="Arial"/>
          <w:color w:val="222222"/>
          <w:shd w:val="clear" w:color="auto" w:fill="FFFFFF"/>
        </w:rPr>
        <w:t>The specific comments supporting the above overall assessment are detailed below.</w:t>
      </w:r>
      <w:r>
        <w:rPr>
          <w:rFonts w:ascii="Arial" w:hAnsi="Arial" w:cs="Arial"/>
          <w:color w:val="222222"/>
        </w:rPr>
        <w:br/>
      </w:r>
      <w:r>
        <w:rPr>
          <w:rFonts w:ascii="Arial" w:hAnsi="Arial" w:cs="Arial"/>
          <w:color w:val="222222"/>
        </w:rPr>
        <w:br/>
      </w:r>
      <w:r>
        <w:rPr>
          <w:rFonts w:ascii="Arial" w:hAnsi="Arial" w:cs="Arial"/>
          <w:color w:val="222222"/>
        </w:rPr>
        <w:t xml:space="preserve">1. </w:t>
      </w:r>
      <w:r>
        <w:rPr>
          <w:rFonts w:ascii="Arial" w:hAnsi="Arial" w:cs="Arial"/>
          <w:color w:val="222222"/>
          <w:shd w:val="clear" w:color="auto" w:fill="FFFFFF"/>
        </w:rPr>
        <w:t xml:space="preserve">In Definition 4, the fidelity between the returned signal mode and the reference mode of the TMSV state is calculated, i.e., </w:t>
      </w:r>
      <m:oMath>
        <m:r>
          <m:rPr>
            <m:scr m:val="script"/>
            <m:sty m:val="p"/>
          </m:rPr>
          <w:rPr>
            <w:rFonts w:ascii="Cambria Math" w:hAnsi="Cambria Math" w:cs="Arial"/>
            <w:color w:val="222222"/>
          </w:rPr>
          <m:t>F</m:t>
        </m:r>
        <m:d>
          <m:dPr>
            <m:ctrlPr>
              <w:rPr>
                <w:rFonts w:ascii="Cambria Math" w:hAnsi="Cambria Math" w:cs="Arial"/>
                <w:color w:val="222222"/>
              </w:rPr>
            </m:ctrlPr>
          </m:dPr>
          <m:e>
            <m:sSub>
              <m:sSubPr>
                <m:ctrlPr>
                  <w:rPr>
                    <w:rFonts w:ascii="Cambria Math" w:hAnsi="Cambria Math" w:cs="Arial"/>
                    <w:color w:val="222222"/>
                  </w:rPr>
                </m:ctrlPr>
              </m:sSubPr>
              <m:e>
                <m:r>
                  <w:rPr>
                    <w:rFonts w:ascii="Cambria Math" w:hAnsi="Cambria Math" w:cs="Arial"/>
                    <w:color w:val="222222"/>
                  </w:rPr>
                  <m:t>ρ</m:t>
                </m:r>
              </m:e>
              <m:sub>
                <m:r>
                  <w:rPr>
                    <w:rFonts w:ascii="Cambria Math" w:hAnsi="Cambria Math" w:cs="Arial"/>
                    <w:color w:val="222222"/>
                  </w:rPr>
                  <m:t>return</m:t>
                </m:r>
              </m:sub>
            </m:sSub>
            <m:r>
              <w:rPr>
                <w:rFonts w:ascii="Cambria Math" w:hAnsi="Cambria Math" w:cs="Arial"/>
                <w:color w:val="222222"/>
              </w:rPr>
              <m:t>,</m:t>
            </m:r>
            <m:sSub>
              <m:sSubPr>
                <m:ctrlPr>
                  <w:rPr>
                    <w:rFonts w:ascii="Cambria Math" w:hAnsi="Cambria Math" w:cs="Arial"/>
                    <w:color w:val="222222"/>
                  </w:rPr>
                </m:ctrlPr>
              </m:sSubPr>
              <m:e>
                <m:r>
                  <w:rPr>
                    <w:rFonts w:ascii="Cambria Math" w:hAnsi="Cambria Math" w:cs="Arial"/>
                    <w:color w:val="222222"/>
                  </w:rPr>
                  <m:t>ρ</m:t>
                </m:r>
              </m:e>
              <m:sub>
                <m:r>
                  <w:rPr>
                    <w:rFonts w:ascii="Cambria Math" w:hAnsi="Cambria Math" w:cs="Arial"/>
                    <w:color w:val="222222"/>
                  </w:rPr>
                  <m:t>ref</m:t>
                </m:r>
              </m:sub>
            </m:sSub>
          </m:e>
        </m:d>
      </m:oMath>
      <w:r>
        <w:rPr>
          <w:rFonts w:ascii="Arial" w:hAnsi="Arial" w:cs="Arial"/>
          <w:color w:val="222222"/>
          <w:shd w:val="clear" w:color="auto" w:fill="FFFFFF"/>
        </w:rPr>
        <w:t>. However, if one ignores one mode of the TMSV state, the radiation field of the remaining mode is indistinguishable from that of a thermal state. Therefore, this is equivalent to computing the fidelity between two thermal states, and the result depends only on the mean photon numbers of the two thermal states, having nothing to do with the quantum entanglement between the two modes. Could the authors explain what actual physical significance the fidelity calculated in this way has?</w:t>
      </w:r>
    </w:p>
    <w:p w14:paraId="1F315B3A" w14:textId="63A3A880" w:rsidR="001F1E41" w:rsidRDefault="001F1E41">
      <w:pPr>
        <w:rPr>
          <w:rFonts w:ascii="Arial" w:hAnsi="Arial" w:cs="Arial"/>
          <w:color w:val="222222"/>
        </w:rPr>
      </w:pPr>
      <w:r>
        <w:rPr>
          <w:rFonts w:ascii="Arial" w:hAnsi="Arial" w:cs="Arial"/>
          <w:color w:val="222222"/>
        </w:rPr>
        <w:br/>
      </w:r>
      <w:r>
        <w:rPr>
          <w:rFonts w:ascii="Arial" w:hAnsi="Arial" w:cs="Arial"/>
          <w:color w:val="222222"/>
          <w:shd w:val="clear" w:color="auto" w:fill="FFFFFF"/>
        </w:rPr>
        <w:t xml:space="preserve">2. </w:t>
      </w:r>
      <w:r>
        <w:rPr>
          <w:rFonts w:ascii="Arial" w:hAnsi="Arial" w:cs="Arial"/>
          <w:color w:val="222222"/>
          <w:shd w:val="clear" w:color="auto" w:fill="FFFFFF"/>
        </w:rPr>
        <w:t xml:space="preserve">There is a contradiction between Definition 4 and Theorem 3. According to Definition 4, the fidelity between the return mode and the reference mode should depend only on the block matrices on the main diagonal of the matrix </w:t>
      </w:r>
      <m:oMath>
        <m:sSup>
          <m:sSupPr>
            <m:ctrlPr>
              <w:rPr>
                <w:rFonts w:ascii="Cambria Math" w:hAnsi="Cambria Math" w:cs="Arial"/>
                <w:color w:val="222222"/>
              </w:rPr>
            </m:ctrlPr>
          </m:sSupPr>
          <m:e>
            <m:r>
              <w:rPr>
                <w:rFonts w:ascii="Cambria Math" w:hAnsi="Cambria Math" w:cs="Arial"/>
                <w:color w:val="222222"/>
              </w:rPr>
              <m:t>V</m:t>
            </m:r>
          </m:e>
          <m:sup>
            <m:d>
              <m:dPr>
                <m:ctrlPr>
                  <w:rPr>
                    <w:rFonts w:ascii="Cambria Math" w:hAnsi="Cambria Math" w:cs="Arial"/>
                    <w:color w:val="222222"/>
                  </w:rPr>
                </m:ctrlPr>
              </m:dPr>
              <m:e>
                <m:r>
                  <w:rPr>
                    <w:rFonts w:ascii="Cambria Math" w:hAnsi="Cambria Math" w:cs="Arial"/>
                    <w:color w:val="222222"/>
                  </w:rPr>
                  <m:t>out</m:t>
                </m:r>
              </m:e>
            </m:d>
          </m:sup>
        </m:sSup>
      </m:oMath>
      <w:r>
        <w:rPr>
          <w:rFonts w:ascii="Arial" w:hAnsi="Arial" w:cs="Arial"/>
          <w:color w:val="222222"/>
          <w:shd w:val="clear" w:color="auto" w:fill="FFFFFF"/>
        </w:rPr>
        <w:t xml:space="preserve"> in Eq. (27). The entanglement (cross-correlation) is encoded in the off-diagonal block matrices. However, the result given in Theorem 3 indicates that the fidelity depends on all elements of the matrix, which leads to a contradiction.</w:t>
      </w:r>
      <w:r>
        <w:rPr>
          <w:rFonts w:ascii="Arial" w:hAnsi="Arial" w:cs="Arial"/>
          <w:color w:val="222222"/>
        </w:rPr>
        <w:br/>
      </w:r>
      <w:r>
        <w:rPr>
          <w:rFonts w:ascii="Arial" w:hAnsi="Arial" w:cs="Arial"/>
          <w:color w:val="222222"/>
        </w:rPr>
        <w:br/>
      </w:r>
      <w:r>
        <w:rPr>
          <w:rFonts w:ascii="Arial" w:hAnsi="Arial" w:cs="Arial"/>
          <w:color w:val="222222"/>
        </w:rPr>
        <w:t xml:space="preserve">3. </w:t>
      </w:r>
      <w:r>
        <w:rPr>
          <w:rFonts w:ascii="Arial" w:hAnsi="Arial" w:cs="Arial"/>
          <w:color w:val="222222"/>
          <w:shd w:val="clear" w:color="auto" w:fill="FFFFFF"/>
        </w:rPr>
        <w:t xml:space="preserve">In Theorem 4, the expression </w:t>
      </w:r>
      <m:oMath>
        <m:r>
          <m:rPr>
            <m:scr m:val="script"/>
            <m:sty m:val="p"/>
          </m:rPr>
          <w:rPr>
            <w:rFonts w:ascii="Cambria Math" w:hAnsi="Cambria Math" w:cs="Arial"/>
            <w:color w:val="222222"/>
          </w:rPr>
          <m:t>F</m:t>
        </m:r>
        <m:d>
          <m:dPr>
            <m:ctrlPr>
              <w:rPr>
                <w:rFonts w:ascii="Cambria Math" w:hAnsi="Cambria Math" w:cs="Arial"/>
                <w:color w:val="222222"/>
              </w:rPr>
            </m:ctrlPr>
          </m:dPr>
          <m:e>
            <m:sSubSup>
              <m:sSubSupPr>
                <m:ctrlPr>
                  <w:rPr>
                    <w:rFonts w:ascii="Cambria Math" w:hAnsi="Cambria Math" w:cs="Arial"/>
                    <w:color w:val="222222"/>
                  </w:rPr>
                </m:ctrlPr>
              </m:sSubSupPr>
              <m:e>
                <m:r>
                  <w:rPr>
                    <w:rFonts w:ascii="Cambria Math" w:hAnsi="Cambria Math" w:cs="Arial"/>
                    <w:color w:val="222222"/>
                  </w:rPr>
                  <m:t>ρ</m:t>
                </m:r>
              </m:e>
              <m:sub>
                <m:r>
                  <w:rPr>
                    <w:rFonts w:ascii="Cambria Math" w:hAnsi="Cambria Math" w:cs="Arial"/>
                    <w:color w:val="222222"/>
                  </w:rPr>
                  <m:t>si</m:t>
                </m:r>
              </m:sub>
              <m:sup>
                <m:d>
                  <m:dPr>
                    <m:ctrlPr>
                      <w:rPr>
                        <w:rFonts w:ascii="Cambria Math" w:hAnsi="Cambria Math" w:cs="Arial"/>
                        <w:color w:val="222222"/>
                      </w:rPr>
                    </m:ctrlPr>
                  </m:dPr>
                  <m:e>
                    <m:r>
                      <w:rPr>
                        <w:rFonts w:ascii="Cambria Math" w:hAnsi="Cambria Math" w:cs="Arial"/>
                        <w:color w:val="222222"/>
                      </w:rPr>
                      <m:t>0</m:t>
                    </m:r>
                  </m:e>
                </m:d>
              </m:sup>
            </m:sSubSup>
            <m:r>
              <w:rPr>
                <w:rFonts w:ascii="Cambria Math" w:hAnsi="Cambria Math" w:cs="Arial"/>
                <w:color w:val="222222"/>
              </w:rPr>
              <m:t>,</m:t>
            </m:r>
            <m:sSubSup>
              <m:sSubSupPr>
                <m:ctrlPr>
                  <w:rPr>
                    <w:rFonts w:ascii="Cambria Math" w:hAnsi="Cambria Math" w:cs="Arial"/>
                    <w:color w:val="222222"/>
                  </w:rPr>
                </m:ctrlPr>
              </m:sSubSupPr>
              <m:e>
                <m:r>
                  <w:rPr>
                    <w:rFonts w:ascii="Cambria Math" w:hAnsi="Cambria Math" w:cs="Arial"/>
                    <w:color w:val="222222"/>
                  </w:rPr>
                  <m:t>ρ</m:t>
                </m:r>
              </m:e>
              <m:sub>
                <m:r>
                  <w:rPr>
                    <w:rFonts w:ascii="Cambria Math" w:hAnsi="Cambria Math" w:cs="Arial"/>
                    <w:color w:val="222222"/>
                  </w:rPr>
                  <m:t>si</m:t>
                </m:r>
              </m:sub>
              <m:sup>
                <m:d>
                  <m:dPr>
                    <m:ctrlPr>
                      <w:rPr>
                        <w:rFonts w:ascii="Cambria Math" w:hAnsi="Cambria Math" w:cs="Arial"/>
                        <w:color w:val="222222"/>
                      </w:rPr>
                    </m:ctrlPr>
                  </m:dPr>
                  <m:e>
                    <m:r>
                      <w:rPr>
                        <w:rFonts w:ascii="Cambria Math" w:hAnsi="Cambria Math" w:cs="Arial"/>
                        <w:color w:val="222222"/>
                      </w:rPr>
                      <m:t>1</m:t>
                    </m:r>
                  </m:e>
                </m:d>
              </m:sup>
            </m:sSubSup>
          </m:e>
        </m:d>
      </m:oMath>
      <w:r>
        <w:rPr>
          <w:rFonts w:ascii="Arial" w:hAnsi="Arial" w:cs="Arial"/>
          <w:color w:val="222222"/>
          <w:shd w:val="clear" w:color="auto" w:fill="FFFFFF"/>
        </w:rPr>
        <w:t xml:space="preserve"> appears in Eq. (36), which contradicts Definition 4, because the fidelity in Definition 4 is defined for the signal mode and the reference mode of the TMSV state, whereas </w:t>
      </w:r>
      <m:oMath>
        <m:r>
          <m:rPr>
            <m:scr m:val="script"/>
            <m:sty m:val="p"/>
          </m:rPr>
          <w:rPr>
            <w:rFonts w:ascii="Cambria Math" w:hAnsi="Cambria Math" w:cs="Arial"/>
            <w:color w:val="222222"/>
          </w:rPr>
          <m:t>F</m:t>
        </m:r>
        <m:d>
          <m:dPr>
            <m:ctrlPr>
              <w:rPr>
                <w:rFonts w:ascii="Cambria Math" w:hAnsi="Cambria Math" w:cs="Arial"/>
                <w:color w:val="222222"/>
              </w:rPr>
            </m:ctrlPr>
          </m:dPr>
          <m:e>
            <m:sSubSup>
              <m:sSubSupPr>
                <m:ctrlPr>
                  <w:rPr>
                    <w:rFonts w:ascii="Cambria Math" w:hAnsi="Cambria Math" w:cs="Arial"/>
                    <w:color w:val="222222"/>
                  </w:rPr>
                </m:ctrlPr>
              </m:sSubSupPr>
              <m:e>
                <m:r>
                  <w:rPr>
                    <w:rFonts w:ascii="Cambria Math" w:hAnsi="Cambria Math" w:cs="Arial"/>
                    <w:color w:val="222222"/>
                  </w:rPr>
                  <m:t>ρ</m:t>
                </m:r>
              </m:e>
              <m:sub>
                <m:r>
                  <w:rPr>
                    <w:rFonts w:ascii="Cambria Math" w:hAnsi="Cambria Math" w:cs="Arial"/>
                    <w:color w:val="222222"/>
                  </w:rPr>
                  <m:t>si</m:t>
                </m:r>
              </m:sub>
              <m:sup>
                <m:d>
                  <m:dPr>
                    <m:ctrlPr>
                      <w:rPr>
                        <w:rFonts w:ascii="Cambria Math" w:hAnsi="Cambria Math" w:cs="Arial"/>
                        <w:color w:val="222222"/>
                      </w:rPr>
                    </m:ctrlPr>
                  </m:dPr>
                  <m:e>
                    <m:r>
                      <w:rPr>
                        <w:rFonts w:ascii="Cambria Math" w:hAnsi="Cambria Math" w:cs="Arial"/>
                        <w:color w:val="222222"/>
                      </w:rPr>
                      <m:t>0</m:t>
                    </m:r>
                  </m:e>
                </m:d>
              </m:sup>
            </m:sSubSup>
            <m:r>
              <w:rPr>
                <w:rFonts w:ascii="Cambria Math" w:hAnsi="Cambria Math" w:cs="Arial"/>
                <w:color w:val="222222"/>
              </w:rPr>
              <m:t>,</m:t>
            </m:r>
            <m:sSubSup>
              <m:sSubSupPr>
                <m:ctrlPr>
                  <w:rPr>
                    <w:rFonts w:ascii="Cambria Math" w:hAnsi="Cambria Math" w:cs="Arial"/>
                    <w:color w:val="222222"/>
                  </w:rPr>
                </m:ctrlPr>
              </m:sSubSupPr>
              <m:e>
                <m:r>
                  <w:rPr>
                    <w:rFonts w:ascii="Cambria Math" w:hAnsi="Cambria Math" w:cs="Arial"/>
                    <w:color w:val="222222"/>
                  </w:rPr>
                  <m:t>ρ</m:t>
                </m:r>
              </m:e>
              <m:sub>
                <m:r>
                  <w:rPr>
                    <w:rFonts w:ascii="Cambria Math" w:hAnsi="Cambria Math" w:cs="Arial"/>
                    <w:color w:val="222222"/>
                  </w:rPr>
                  <m:t>si</m:t>
                </m:r>
              </m:sub>
              <m:sup>
                <m:d>
                  <m:dPr>
                    <m:ctrlPr>
                      <w:rPr>
                        <w:rFonts w:ascii="Cambria Math" w:hAnsi="Cambria Math" w:cs="Arial"/>
                        <w:color w:val="222222"/>
                      </w:rPr>
                    </m:ctrlPr>
                  </m:dPr>
                  <m:e>
                    <m:r>
                      <w:rPr>
                        <w:rFonts w:ascii="Cambria Math" w:hAnsi="Cambria Math" w:cs="Arial"/>
                        <w:color w:val="222222"/>
                      </w:rPr>
                      <m:t>1</m:t>
                    </m:r>
                  </m:e>
                </m:d>
              </m:sup>
            </m:sSubSup>
          </m:e>
        </m:d>
      </m:oMath>
      <w:r>
        <w:rPr>
          <w:rFonts w:ascii="Arial" w:hAnsi="Arial" w:cs="Arial"/>
          <w:color w:val="222222"/>
          <w:shd w:val="clear" w:color="auto" w:fill="FFFFFF"/>
        </w:rPr>
        <w:t>pertains to the states under the two hypotheses (target present/absent). The proof of Eq. (36) in the paper is too sketchy. If there is indeed no contradiction, please provide a complete proof in the reply letter to clarify.</w:t>
      </w:r>
      <w:r>
        <w:rPr>
          <w:rFonts w:ascii="Arial" w:hAnsi="Arial" w:cs="Arial"/>
          <w:color w:val="222222"/>
        </w:rPr>
        <w:br/>
      </w:r>
    </w:p>
    <w:p w14:paraId="2F547044" w14:textId="77777777" w:rsidR="00FF29FF" w:rsidRDefault="001F1E41">
      <w:pPr>
        <w:rPr>
          <w:rFonts w:ascii="Arial" w:hAnsi="Arial" w:cs="Arial"/>
          <w:color w:val="222222"/>
          <w:shd w:val="clear" w:color="auto" w:fill="FFFFFF"/>
        </w:rPr>
      </w:pPr>
      <w:r>
        <w:rPr>
          <w:rFonts w:ascii="Arial" w:hAnsi="Arial" w:cs="Arial"/>
          <w:color w:val="222222"/>
        </w:rPr>
        <w:t xml:space="preserve">4. </w:t>
      </w:r>
      <w:r>
        <w:rPr>
          <w:rFonts w:ascii="Arial" w:hAnsi="Arial" w:cs="Arial"/>
          <w:color w:val="222222"/>
          <w:shd w:val="clear" w:color="auto" w:fill="FFFFFF"/>
        </w:rPr>
        <w:t xml:space="preserve">The first inequality </w:t>
      </w:r>
      <m:oMath>
        <m:r>
          <m:rPr>
            <m:scr m:val="script"/>
            <m:sty m:val="p"/>
          </m:rPr>
          <w:rPr>
            <w:rFonts w:ascii="Cambria Math" w:hAnsi="Cambria Math" w:cs="Arial"/>
            <w:color w:val="222222"/>
          </w:rPr>
          <m:t>F</m:t>
        </m:r>
        <m:d>
          <m:dPr>
            <m:ctrlPr>
              <w:rPr>
                <w:rFonts w:ascii="Cambria Math" w:hAnsi="Cambria Math" w:cs="Arial"/>
                <w:color w:val="222222"/>
              </w:rPr>
            </m:ctrlPr>
          </m:dPr>
          <m:e>
            <m:sSub>
              <m:sSubPr>
                <m:ctrlPr>
                  <w:rPr>
                    <w:rFonts w:ascii="Cambria Math" w:hAnsi="Cambria Math" w:cs="Arial"/>
                    <w:color w:val="222222"/>
                  </w:rPr>
                </m:ctrlPr>
              </m:sSubPr>
              <m:e>
                <m:r>
                  <w:rPr>
                    <w:rFonts w:ascii="Cambria Math" w:hAnsi="Cambria Math" w:cs="Arial"/>
                    <w:color w:val="222222"/>
                  </w:rPr>
                  <m:t>ρ</m:t>
                </m:r>
              </m:e>
              <m:sub>
                <m:r>
                  <w:rPr>
                    <w:rFonts w:ascii="Cambria Math" w:hAnsi="Cambria Math" w:cs="Arial"/>
                    <w:color w:val="222222"/>
                  </w:rPr>
                  <m:t>return</m:t>
                </m:r>
              </m:sub>
            </m:sSub>
            <m:r>
              <w:rPr>
                <w:rFonts w:ascii="Cambria Math" w:hAnsi="Cambria Math" w:cs="Arial"/>
                <w:color w:val="222222"/>
              </w:rPr>
              <m:t>,</m:t>
            </m:r>
            <m:sSub>
              <m:sSubPr>
                <m:ctrlPr>
                  <w:rPr>
                    <w:rFonts w:ascii="Cambria Math" w:hAnsi="Cambria Math" w:cs="Arial"/>
                    <w:color w:val="222222"/>
                  </w:rPr>
                </m:ctrlPr>
              </m:sSubPr>
              <m:e>
                <m:r>
                  <w:rPr>
                    <w:rFonts w:ascii="Cambria Math" w:hAnsi="Cambria Math" w:cs="Arial"/>
                    <w:color w:val="222222"/>
                  </w:rPr>
                  <m:t>ρ</m:t>
                </m:r>
              </m:e>
              <m:sub>
                <m:r>
                  <w:rPr>
                    <w:rFonts w:ascii="Cambria Math" w:hAnsi="Cambria Math" w:cs="Arial"/>
                    <w:color w:val="222222"/>
                  </w:rPr>
                  <m:t>ref</m:t>
                </m:r>
              </m:sub>
            </m:sSub>
          </m:e>
        </m:d>
        <m:r>
          <w:rPr>
            <w:rFonts w:ascii="Cambria Math" w:hAnsi="Cambria Math" w:cs="Arial"/>
            <w:color w:val="222222"/>
          </w:rPr>
          <m:t>⩾1-</m:t>
        </m:r>
        <m:f>
          <m:fPr>
            <m:ctrlPr>
              <w:rPr>
                <w:rFonts w:ascii="Cambria Math" w:hAnsi="Cambria Math" w:cs="Arial"/>
                <w:color w:val="222222"/>
              </w:rPr>
            </m:ctrlPr>
          </m:fPr>
          <m:num>
            <m:r>
              <w:rPr>
                <w:rFonts w:ascii="Cambria Math" w:hAnsi="Cambria Math" w:cs="Arial"/>
                <w:color w:val="222222"/>
              </w:rPr>
              <m:t>1</m:t>
            </m:r>
          </m:num>
          <m:den>
            <m:r>
              <w:rPr>
                <w:rFonts w:ascii="Cambria Math" w:hAnsi="Cambria Math" w:cs="Arial"/>
                <w:color w:val="222222"/>
              </w:rPr>
              <m:t>2</m:t>
            </m:r>
          </m:den>
        </m:f>
        <m:r>
          <w:rPr>
            <w:rFonts w:ascii="Cambria Math" w:hAnsi="Cambria Math" w:cs="Arial"/>
            <w:color w:val="222222"/>
          </w:rPr>
          <m:t>Tr</m:t>
        </m:r>
        <m:d>
          <m:dPr>
            <m:begChr m:val="["/>
            <m:endChr m:val="]"/>
            <m:ctrlPr>
              <w:rPr>
                <w:rFonts w:ascii="Cambria Math" w:hAnsi="Cambria Math" w:cs="Arial"/>
                <w:color w:val="222222"/>
              </w:rPr>
            </m:ctrlPr>
          </m:dPr>
          <m:e>
            <m:r>
              <w:rPr>
                <w:rFonts w:ascii="Cambria Math" w:hAnsi="Cambria Math" w:cs="Arial"/>
                <w:color w:val="222222"/>
              </w:rPr>
              <m:t>Cov</m:t>
            </m:r>
            <m:d>
              <m:dPr>
                <m:ctrlPr>
                  <w:rPr>
                    <w:rFonts w:ascii="Cambria Math" w:hAnsi="Cambria Math" w:cs="Arial"/>
                    <w:color w:val="222222"/>
                  </w:rPr>
                </m:ctrlPr>
              </m:dPr>
              <m:e>
                <m:acc>
                  <m:accPr>
                    <m:chr m:val="ˆ"/>
                    <m:ctrlPr>
                      <w:rPr>
                        <w:rFonts w:ascii="Cambria Math" w:hAnsi="Cambria Math" w:cs="Arial"/>
                        <w:color w:val="222222"/>
                      </w:rPr>
                    </m:ctrlPr>
                  </m:accPr>
                  <m:e>
                    <m:r>
                      <m:rPr>
                        <m:sty m:val="p"/>
                      </m:rPr>
                      <w:rPr>
                        <w:rFonts w:ascii="Cambria Math" w:hAnsi="Cambria Math" w:cs="Arial"/>
                        <w:color w:val="222222"/>
                      </w:rPr>
                      <m:t>Θ</m:t>
                    </m:r>
                  </m:e>
                </m:acc>
              </m:e>
            </m:d>
            <m:r>
              <w:rPr>
                <w:rFonts w:ascii="Cambria Math" w:hAnsi="Cambria Math" w:cs="Arial"/>
                <w:color w:val="222222"/>
              </w:rPr>
              <m:t>G</m:t>
            </m:r>
          </m:e>
        </m:d>
      </m:oMath>
      <w:r>
        <w:rPr>
          <w:rFonts w:ascii="Arial" w:hAnsi="Arial" w:cs="Arial"/>
          <w:color w:val="222222"/>
          <w:shd w:val="clear" w:color="auto" w:fill="FFFFFF"/>
        </w:rPr>
        <w:t xml:space="preserve"> in Theorem 5 may contain an error. The metric tensor </w:t>
      </w:r>
      <m:oMath>
        <m:r>
          <w:rPr>
            <w:rFonts w:ascii="Cambria Math" w:eastAsiaTheme="minorEastAsia" w:hAnsi="Cambria Math" w:cs="Arial"/>
            <w:color w:val="222222"/>
          </w:rPr>
          <m:t>G</m:t>
        </m:r>
      </m:oMath>
      <w:r>
        <w:rPr>
          <w:rFonts w:ascii="Arial" w:hAnsi="Arial" w:cs="Arial"/>
          <w:color w:val="222222"/>
          <w:shd w:val="clear" w:color="auto" w:fill="FFFFFF"/>
        </w:rPr>
        <w:t xml:space="preserve"> is defined as the value of </w:t>
      </w:r>
      <m:oMath>
        <m:sSub>
          <m:sSubPr>
            <m:ctrlPr>
              <w:rPr>
                <w:rFonts w:ascii="Cambria Math" w:hAnsi="Cambria Math" w:cs="Arial"/>
                <w:color w:val="222222"/>
              </w:rPr>
            </m:ctrlPr>
          </m:sSubPr>
          <m:e>
            <m:r>
              <w:rPr>
                <w:rFonts w:ascii="Cambria Math" w:hAnsi="Cambria Math" w:cs="Arial"/>
                <w:color w:val="222222"/>
              </w:rPr>
              <m:t>G</m:t>
            </m:r>
          </m:e>
          <m:sub>
            <m:r>
              <w:rPr>
                <w:rFonts w:ascii="Cambria Math" w:hAnsi="Cambria Math" w:cs="Arial"/>
                <w:color w:val="222222"/>
              </w:rPr>
              <m:t>μv</m:t>
            </m:r>
          </m:sub>
        </m:sSub>
        <m:r>
          <w:rPr>
            <w:rFonts w:ascii="Cambria Math" w:hAnsi="Cambria Math" w:cs="Arial"/>
            <w:color w:val="222222"/>
          </w:rPr>
          <m:t>=</m:t>
        </m:r>
        <m:sSub>
          <m:sSubPr>
            <m:ctrlPr>
              <w:rPr>
                <w:rFonts w:ascii="Cambria Math" w:hAnsi="Cambria Math" w:cs="Arial"/>
                <w:color w:val="222222"/>
              </w:rPr>
            </m:ctrlPr>
          </m:sSubPr>
          <m:e>
            <m:r>
              <w:rPr>
                <w:rFonts w:ascii="Cambria Math" w:hAnsi="Cambria Math" w:cs="Arial"/>
                <w:color w:val="222222"/>
              </w:rPr>
              <m:t>∂</m:t>
            </m:r>
          </m:e>
          <m:sub>
            <m:r>
              <w:rPr>
                <w:rFonts w:ascii="Cambria Math" w:hAnsi="Cambria Math" w:cs="Arial"/>
                <w:color w:val="222222"/>
              </w:rPr>
              <m:t>μ</m:t>
            </m:r>
          </m:sub>
        </m:sSub>
        <m:sSub>
          <m:sSubPr>
            <m:ctrlPr>
              <w:rPr>
                <w:rFonts w:ascii="Cambria Math" w:hAnsi="Cambria Math" w:cs="Arial"/>
                <w:color w:val="222222"/>
              </w:rPr>
            </m:ctrlPr>
          </m:sSubPr>
          <m:e>
            <m:r>
              <w:rPr>
                <w:rFonts w:ascii="Cambria Math" w:hAnsi="Cambria Math" w:cs="Arial"/>
                <w:color w:val="222222"/>
              </w:rPr>
              <m:t>∂</m:t>
            </m:r>
          </m:e>
          <m:sub>
            <m:r>
              <w:rPr>
                <w:rFonts w:ascii="Cambria Math" w:hAnsi="Cambria Math" w:cs="Arial"/>
                <w:color w:val="222222"/>
              </w:rPr>
              <m:t>v</m:t>
            </m:r>
          </m:sub>
        </m:sSub>
        <m:r>
          <m:rPr>
            <m:scr m:val="script"/>
            <m:sty m:val="p"/>
          </m:rPr>
          <w:rPr>
            <w:rFonts w:ascii="Cambria Math" w:hAnsi="Cambria Math" w:cs="Arial"/>
            <w:color w:val="222222"/>
          </w:rPr>
          <m:t>F</m:t>
        </m:r>
      </m:oMath>
      <w:r>
        <w:rPr>
          <w:rFonts w:ascii="Arial" w:hAnsi="Arial" w:cs="Arial"/>
          <w:color w:val="222222"/>
          <w:shd w:val="clear" w:color="auto" w:fill="FFFFFF"/>
        </w:rPr>
        <w:t xml:space="preserve"> at the true parameter, so $G$ should be a negative semi-definite matrix; the covariance matrix </w:t>
      </w:r>
      <m:oMath>
        <m:r>
          <w:rPr>
            <w:rFonts w:ascii="Cambria Math" w:hAnsi="Cambria Math" w:cs="Arial"/>
            <w:color w:val="222222"/>
          </w:rPr>
          <m:t>Cov</m:t>
        </m:r>
        <m:d>
          <m:dPr>
            <m:ctrlPr>
              <w:rPr>
                <w:rFonts w:ascii="Cambria Math" w:hAnsi="Cambria Math" w:cs="Arial"/>
                <w:color w:val="222222"/>
              </w:rPr>
            </m:ctrlPr>
          </m:dPr>
          <m:e>
            <m:acc>
              <m:accPr>
                <m:chr m:val="ˆ"/>
                <m:ctrlPr>
                  <w:rPr>
                    <w:rFonts w:ascii="Cambria Math" w:hAnsi="Cambria Math" w:cs="Arial"/>
                    <w:color w:val="222222"/>
                  </w:rPr>
                </m:ctrlPr>
              </m:accPr>
              <m:e>
                <m:r>
                  <m:rPr>
                    <m:sty m:val="p"/>
                  </m:rPr>
                  <w:rPr>
                    <w:rFonts w:ascii="Cambria Math" w:hAnsi="Cambria Math" w:cs="Arial"/>
                    <w:color w:val="222222"/>
                  </w:rPr>
                  <m:t>Θ</m:t>
                </m:r>
              </m:e>
            </m:acc>
          </m:e>
        </m:d>
      </m:oMath>
      <w:r w:rsidR="00FF29FF">
        <w:rPr>
          <w:rFonts w:ascii="Arial" w:eastAsiaTheme="minorEastAsia" w:hAnsi="Arial" w:cs="Arial"/>
          <w:color w:val="222222"/>
        </w:rPr>
        <w:t xml:space="preserve"> </w:t>
      </w:r>
      <w:r>
        <w:rPr>
          <w:rFonts w:ascii="Arial" w:hAnsi="Arial" w:cs="Arial"/>
          <w:color w:val="222222"/>
          <w:shd w:val="clear" w:color="auto" w:fill="FFFFFF"/>
        </w:rPr>
        <w:t xml:space="preserve">is a positive semi-definite matrix; therefore, the trace of their product satisfies </w:t>
      </w:r>
      <m:oMath>
        <m:r>
          <w:rPr>
            <w:rFonts w:ascii="Cambria Math" w:hAnsi="Cambria Math" w:cs="Arial"/>
            <w:color w:val="222222"/>
          </w:rPr>
          <m:t>Tr</m:t>
        </m:r>
        <m:d>
          <m:dPr>
            <m:begChr m:val="["/>
            <m:endChr m:val="]"/>
            <m:ctrlPr>
              <w:rPr>
                <w:rFonts w:ascii="Cambria Math" w:hAnsi="Cambria Math" w:cs="Arial"/>
                <w:color w:val="222222"/>
              </w:rPr>
            </m:ctrlPr>
          </m:dPr>
          <m:e>
            <m:r>
              <w:rPr>
                <w:rFonts w:ascii="Cambria Math" w:hAnsi="Cambria Math" w:cs="Arial"/>
                <w:color w:val="222222"/>
              </w:rPr>
              <m:t>Cov</m:t>
            </m:r>
            <m:d>
              <m:dPr>
                <m:ctrlPr>
                  <w:rPr>
                    <w:rFonts w:ascii="Cambria Math" w:hAnsi="Cambria Math" w:cs="Arial"/>
                    <w:color w:val="222222"/>
                  </w:rPr>
                </m:ctrlPr>
              </m:dPr>
              <m:e>
                <m:acc>
                  <m:accPr>
                    <m:chr m:val="ˆ"/>
                    <m:ctrlPr>
                      <w:rPr>
                        <w:rFonts w:ascii="Cambria Math" w:hAnsi="Cambria Math" w:cs="Arial"/>
                        <w:color w:val="222222"/>
                      </w:rPr>
                    </m:ctrlPr>
                  </m:accPr>
                  <m:e>
                    <m:r>
                      <m:rPr>
                        <m:sty m:val="p"/>
                      </m:rPr>
                      <w:rPr>
                        <w:rFonts w:ascii="Cambria Math" w:hAnsi="Cambria Math" w:cs="Arial"/>
                        <w:color w:val="222222"/>
                      </w:rPr>
                      <m:t>Θ</m:t>
                    </m:r>
                  </m:e>
                </m:acc>
              </m:e>
            </m:d>
            <m:r>
              <w:rPr>
                <w:rFonts w:ascii="Cambria Math" w:hAnsi="Cambria Math" w:cs="Arial"/>
                <w:color w:val="222222"/>
              </w:rPr>
              <m:t>G</m:t>
            </m:r>
          </m:e>
        </m:d>
        <m:r>
          <w:rPr>
            <w:rFonts w:ascii="Cambria Math" w:hAnsi="Cambria Math" w:cs="Arial"/>
            <w:color w:val="222222"/>
          </w:rPr>
          <m:t>⩽0</m:t>
        </m:r>
      </m:oMath>
      <w:r>
        <w:rPr>
          <w:rFonts w:ascii="Arial" w:hAnsi="Arial" w:cs="Arial"/>
          <w:color w:val="222222"/>
          <w:shd w:val="clear" w:color="auto" w:fill="FFFFFF"/>
        </w:rPr>
        <w:t xml:space="preserve">, which leads to </w:t>
      </w:r>
      <m:oMath>
        <m:r>
          <w:rPr>
            <w:rFonts w:ascii="Cambria Math" w:hAnsi="Cambria Math" w:cs="Arial"/>
            <w:color w:val="222222"/>
          </w:rPr>
          <m:t>1-</m:t>
        </m:r>
        <m:f>
          <m:fPr>
            <m:ctrlPr>
              <w:rPr>
                <w:rFonts w:ascii="Cambria Math" w:hAnsi="Cambria Math" w:cs="Arial"/>
                <w:color w:val="222222"/>
              </w:rPr>
            </m:ctrlPr>
          </m:fPr>
          <m:num>
            <m:r>
              <w:rPr>
                <w:rFonts w:ascii="Cambria Math" w:hAnsi="Cambria Math" w:cs="Arial"/>
                <w:color w:val="222222"/>
              </w:rPr>
              <m:t>1</m:t>
            </m:r>
          </m:num>
          <m:den>
            <m:r>
              <w:rPr>
                <w:rFonts w:ascii="Cambria Math" w:hAnsi="Cambria Math" w:cs="Arial"/>
                <w:color w:val="222222"/>
              </w:rPr>
              <m:t>2</m:t>
            </m:r>
          </m:den>
        </m:f>
        <m:r>
          <w:rPr>
            <w:rFonts w:ascii="Cambria Math" w:hAnsi="Cambria Math" w:cs="Arial"/>
            <w:color w:val="222222"/>
          </w:rPr>
          <m:t>Tr</m:t>
        </m:r>
        <m:d>
          <m:dPr>
            <m:begChr m:val="["/>
            <m:endChr m:val="]"/>
            <m:ctrlPr>
              <w:rPr>
                <w:rFonts w:ascii="Cambria Math" w:hAnsi="Cambria Math" w:cs="Arial"/>
                <w:color w:val="222222"/>
              </w:rPr>
            </m:ctrlPr>
          </m:dPr>
          <m:e>
            <m:r>
              <w:rPr>
                <w:rFonts w:ascii="Cambria Math" w:hAnsi="Cambria Math" w:cs="Arial"/>
                <w:color w:val="222222"/>
              </w:rPr>
              <m:t>Cov</m:t>
            </m:r>
            <m:d>
              <m:dPr>
                <m:ctrlPr>
                  <w:rPr>
                    <w:rFonts w:ascii="Cambria Math" w:hAnsi="Cambria Math" w:cs="Arial"/>
                    <w:color w:val="222222"/>
                  </w:rPr>
                </m:ctrlPr>
              </m:dPr>
              <m:e>
                <m:acc>
                  <m:accPr>
                    <m:chr m:val="ˆ"/>
                    <m:ctrlPr>
                      <w:rPr>
                        <w:rFonts w:ascii="Cambria Math" w:hAnsi="Cambria Math" w:cs="Arial"/>
                        <w:color w:val="222222"/>
                      </w:rPr>
                    </m:ctrlPr>
                  </m:accPr>
                  <m:e>
                    <m:r>
                      <m:rPr>
                        <m:sty m:val="p"/>
                      </m:rPr>
                      <w:rPr>
                        <w:rFonts w:ascii="Cambria Math" w:hAnsi="Cambria Math" w:cs="Arial"/>
                        <w:color w:val="222222"/>
                      </w:rPr>
                      <m:t>Θ</m:t>
                    </m:r>
                  </m:e>
                </m:acc>
              </m:e>
            </m:d>
            <m:r>
              <w:rPr>
                <w:rFonts w:ascii="Cambria Math" w:hAnsi="Cambria Math" w:cs="Arial"/>
                <w:color w:val="222222"/>
              </w:rPr>
              <m:t>G</m:t>
            </m:r>
          </m:e>
        </m:d>
        <m:r>
          <w:rPr>
            <w:rFonts w:ascii="Cambria Math" w:hAnsi="Cambria Math" w:cs="Arial"/>
            <w:color w:val="222222"/>
          </w:rPr>
          <m:t>⩾1</m:t>
        </m:r>
      </m:oMath>
      <w:r>
        <w:rPr>
          <w:rFonts w:ascii="Arial" w:hAnsi="Arial" w:cs="Arial"/>
          <w:color w:val="222222"/>
          <w:shd w:val="clear" w:color="auto" w:fill="FFFFFF"/>
        </w:rPr>
        <w:t xml:space="preserve">. This implies that the fidelity must also </w:t>
      </w:r>
      <m:oMath>
        <m:r>
          <m:rPr>
            <m:scr m:val="script"/>
            <m:sty m:val="p"/>
          </m:rPr>
          <w:rPr>
            <w:rFonts w:ascii="Cambria Math" w:hAnsi="Cambria Math" w:cs="Arial"/>
            <w:color w:val="222222"/>
          </w:rPr>
          <m:t>F</m:t>
        </m:r>
        <m:d>
          <m:dPr>
            <m:ctrlPr>
              <w:rPr>
                <w:rFonts w:ascii="Cambria Math" w:hAnsi="Cambria Math" w:cs="Arial"/>
                <w:color w:val="222222"/>
              </w:rPr>
            </m:ctrlPr>
          </m:dPr>
          <m:e>
            <m:sSub>
              <m:sSubPr>
                <m:ctrlPr>
                  <w:rPr>
                    <w:rFonts w:ascii="Cambria Math" w:hAnsi="Cambria Math" w:cs="Arial"/>
                    <w:color w:val="222222"/>
                  </w:rPr>
                </m:ctrlPr>
              </m:sSubPr>
              <m:e>
                <m:r>
                  <w:rPr>
                    <w:rFonts w:ascii="Cambria Math" w:hAnsi="Cambria Math" w:cs="Arial"/>
                    <w:color w:val="222222"/>
                  </w:rPr>
                  <m:t>ρ</m:t>
                </m:r>
              </m:e>
              <m:sub>
                <m:r>
                  <w:rPr>
                    <w:rFonts w:ascii="Cambria Math" w:hAnsi="Cambria Math" w:cs="Arial"/>
                    <w:color w:val="222222"/>
                  </w:rPr>
                  <m:t>return</m:t>
                </m:r>
              </m:sub>
            </m:sSub>
            <m:r>
              <w:rPr>
                <w:rFonts w:ascii="Cambria Math" w:hAnsi="Cambria Math" w:cs="Arial"/>
                <w:color w:val="222222"/>
              </w:rPr>
              <m:t>,</m:t>
            </m:r>
            <m:sSub>
              <m:sSubPr>
                <m:ctrlPr>
                  <w:rPr>
                    <w:rFonts w:ascii="Cambria Math" w:hAnsi="Cambria Math" w:cs="Arial"/>
                    <w:color w:val="222222"/>
                  </w:rPr>
                </m:ctrlPr>
              </m:sSubPr>
              <m:e>
                <m:r>
                  <w:rPr>
                    <w:rFonts w:ascii="Cambria Math" w:hAnsi="Cambria Math" w:cs="Arial"/>
                    <w:color w:val="222222"/>
                  </w:rPr>
                  <m:t>ρ</m:t>
                </m:r>
              </m:e>
              <m:sub>
                <m:r>
                  <w:rPr>
                    <w:rFonts w:ascii="Cambria Math" w:hAnsi="Cambria Math" w:cs="Arial"/>
                    <w:color w:val="222222"/>
                  </w:rPr>
                  <m:t>ref</m:t>
                </m:r>
              </m:sub>
            </m:sSub>
          </m:e>
        </m:d>
        <m:r>
          <w:rPr>
            <w:rFonts w:ascii="Cambria Math" w:hAnsi="Cambria Math" w:cs="Arial"/>
            <w:color w:val="222222"/>
          </w:rPr>
          <m:t>⩾1-</m:t>
        </m:r>
        <m:f>
          <m:fPr>
            <m:ctrlPr>
              <w:rPr>
                <w:rFonts w:ascii="Cambria Math" w:hAnsi="Cambria Math" w:cs="Arial"/>
                <w:color w:val="222222"/>
              </w:rPr>
            </m:ctrlPr>
          </m:fPr>
          <m:num>
            <m:r>
              <w:rPr>
                <w:rFonts w:ascii="Cambria Math" w:hAnsi="Cambria Math" w:cs="Arial"/>
                <w:color w:val="222222"/>
              </w:rPr>
              <m:t>1</m:t>
            </m:r>
          </m:num>
          <m:den>
            <m:r>
              <w:rPr>
                <w:rFonts w:ascii="Cambria Math" w:hAnsi="Cambria Math" w:cs="Arial"/>
                <w:color w:val="222222"/>
              </w:rPr>
              <m:t>2</m:t>
            </m:r>
          </m:den>
        </m:f>
        <m:r>
          <w:rPr>
            <w:rFonts w:ascii="Cambria Math" w:hAnsi="Cambria Math" w:cs="Arial"/>
            <w:color w:val="222222"/>
          </w:rPr>
          <m:t>Tr</m:t>
        </m:r>
        <m:d>
          <m:dPr>
            <m:begChr m:val="["/>
            <m:endChr m:val="]"/>
            <m:ctrlPr>
              <w:rPr>
                <w:rFonts w:ascii="Cambria Math" w:hAnsi="Cambria Math" w:cs="Arial"/>
                <w:color w:val="222222"/>
              </w:rPr>
            </m:ctrlPr>
          </m:dPr>
          <m:e>
            <m:r>
              <w:rPr>
                <w:rFonts w:ascii="Cambria Math" w:hAnsi="Cambria Math" w:cs="Arial"/>
                <w:color w:val="222222"/>
              </w:rPr>
              <m:t>Cov</m:t>
            </m:r>
            <m:d>
              <m:dPr>
                <m:ctrlPr>
                  <w:rPr>
                    <w:rFonts w:ascii="Cambria Math" w:hAnsi="Cambria Math" w:cs="Arial"/>
                    <w:color w:val="222222"/>
                  </w:rPr>
                </m:ctrlPr>
              </m:dPr>
              <m:e>
                <m:acc>
                  <m:accPr>
                    <m:chr m:val="ˆ"/>
                    <m:ctrlPr>
                      <w:rPr>
                        <w:rFonts w:ascii="Cambria Math" w:hAnsi="Cambria Math" w:cs="Arial"/>
                        <w:color w:val="222222"/>
                      </w:rPr>
                    </m:ctrlPr>
                  </m:accPr>
                  <m:e>
                    <m:r>
                      <m:rPr>
                        <m:sty m:val="p"/>
                      </m:rPr>
                      <w:rPr>
                        <w:rFonts w:ascii="Cambria Math" w:hAnsi="Cambria Math" w:cs="Arial"/>
                        <w:color w:val="222222"/>
                      </w:rPr>
                      <m:t>Θ</m:t>
                    </m:r>
                  </m:e>
                </m:acc>
              </m:e>
            </m:d>
            <m:r>
              <w:rPr>
                <w:rFonts w:ascii="Cambria Math" w:hAnsi="Cambria Math" w:cs="Arial"/>
                <w:color w:val="222222"/>
              </w:rPr>
              <m:t>G</m:t>
            </m:r>
          </m:e>
        </m:d>
        <m:r>
          <w:rPr>
            <w:rFonts w:ascii="Cambria Math" w:hAnsi="Cambria Math" w:cs="Arial"/>
            <w:color w:val="222222"/>
          </w:rPr>
          <m:t>⩾1</m:t>
        </m:r>
      </m:oMath>
      <w:r>
        <w:rPr>
          <w:rFonts w:ascii="Arial" w:hAnsi="Arial" w:cs="Arial"/>
          <w:color w:val="222222"/>
          <w:shd w:val="clear" w:color="auto" w:fill="FFFFFF"/>
        </w:rPr>
        <w:t xml:space="preserve">, but the fidelity must satisfy </w:t>
      </w:r>
      <m:oMath>
        <m:r>
          <m:rPr>
            <m:scr m:val="script"/>
            <m:sty m:val="p"/>
          </m:rPr>
          <w:rPr>
            <w:rFonts w:ascii="Cambria Math" w:hAnsi="Cambria Math" w:cs="Arial"/>
            <w:color w:val="222222"/>
          </w:rPr>
          <m:t>F</m:t>
        </m:r>
        <m:d>
          <m:dPr>
            <m:ctrlPr>
              <w:rPr>
                <w:rFonts w:ascii="Cambria Math" w:hAnsi="Cambria Math" w:cs="Arial"/>
                <w:color w:val="222222"/>
              </w:rPr>
            </m:ctrlPr>
          </m:dPr>
          <m:e>
            <m:sSub>
              <m:sSubPr>
                <m:ctrlPr>
                  <w:rPr>
                    <w:rFonts w:ascii="Cambria Math" w:hAnsi="Cambria Math" w:cs="Arial"/>
                    <w:color w:val="222222"/>
                  </w:rPr>
                </m:ctrlPr>
              </m:sSubPr>
              <m:e>
                <m:r>
                  <w:rPr>
                    <w:rFonts w:ascii="Cambria Math" w:hAnsi="Cambria Math" w:cs="Arial"/>
                    <w:color w:val="222222"/>
                  </w:rPr>
                  <m:t>ρ</m:t>
                </m:r>
              </m:e>
              <m:sub>
                <m:r>
                  <w:rPr>
                    <w:rFonts w:ascii="Cambria Math" w:hAnsi="Cambria Math" w:cs="Arial"/>
                    <w:color w:val="222222"/>
                  </w:rPr>
                  <m:t>return</m:t>
                </m:r>
              </m:sub>
            </m:sSub>
            <m:r>
              <w:rPr>
                <w:rFonts w:ascii="Cambria Math" w:hAnsi="Cambria Math" w:cs="Arial"/>
                <w:color w:val="222222"/>
              </w:rPr>
              <m:t>,</m:t>
            </m:r>
            <m:sSub>
              <m:sSubPr>
                <m:ctrlPr>
                  <w:rPr>
                    <w:rFonts w:ascii="Cambria Math" w:hAnsi="Cambria Math" w:cs="Arial"/>
                    <w:color w:val="222222"/>
                  </w:rPr>
                </m:ctrlPr>
              </m:sSubPr>
              <m:e>
                <m:r>
                  <w:rPr>
                    <w:rFonts w:ascii="Cambria Math" w:hAnsi="Cambria Math" w:cs="Arial"/>
                    <w:color w:val="222222"/>
                  </w:rPr>
                  <m:t>ρ</m:t>
                </m:r>
              </m:e>
              <m:sub>
                <m:r>
                  <w:rPr>
                    <w:rFonts w:ascii="Cambria Math" w:hAnsi="Cambria Math" w:cs="Arial"/>
                    <w:color w:val="222222"/>
                  </w:rPr>
                  <m:t>ref</m:t>
                </m:r>
              </m:sub>
            </m:sSub>
          </m:e>
        </m:d>
        <m:r>
          <w:rPr>
            <w:rFonts w:ascii="Cambria Math" w:hAnsi="Cambria Math" w:cs="Arial"/>
            <w:color w:val="222222"/>
          </w:rPr>
          <m:t>⩽1</m:t>
        </m:r>
      </m:oMath>
      <w:r>
        <w:rPr>
          <w:rFonts w:ascii="Arial" w:hAnsi="Arial" w:cs="Arial"/>
          <w:color w:val="222222"/>
          <w:shd w:val="clear" w:color="auto" w:fill="FFFFFF"/>
        </w:rPr>
        <w:t>. The proof in the paper is too sketchy. If there is indeed no error, please provide a complete proof in the reply letter to clarify.</w:t>
      </w:r>
    </w:p>
    <w:p w14:paraId="628BA9B8" w14:textId="4510C4A3" w:rsidR="001F1E41" w:rsidRDefault="001F1E41">
      <w:pPr>
        <w:rPr>
          <w:rFonts w:ascii="Arial" w:hAnsi="Arial" w:cs="Arial"/>
          <w:color w:val="222222"/>
        </w:rPr>
      </w:pPr>
      <w:r>
        <w:rPr>
          <w:rFonts w:ascii="Arial" w:hAnsi="Arial" w:cs="Arial"/>
          <w:color w:val="222222"/>
        </w:rPr>
        <w:br/>
      </w:r>
      <w:r>
        <w:rPr>
          <w:rFonts w:ascii="Arial" w:hAnsi="Arial" w:cs="Arial"/>
          <w:color w:val="222222"/>
        </w:rPr>
        <w:t xml:space="preserve">5. </w:t>
      </w:r>
      <w:r>
        <w:rPr>
          <w:rFonts w:ascii="Arial" w:hAnsi="Arial" w:cs="Arial"/>
          <w:color w:val="222222"/>
          <w:shd w:val="clear" w:color="auto" w:fill="FFFFFF"/>
        </w:rPr>
        <w:t xml:space="preserve">In Theorem 6, the elements </w:t>
      </w:r>
      <m:oMath>
        <m:sSub>
          <m:sSubPr>
            <m:ctrlPr>
              <w:rPr>
                <w:rFonts w:ascii="Cambria Math" w:hAnsi="Cambria Math" w:cs="Arial"/>
                <w:color w:val="222222"/>
              </w:rPr>
            </m:ctrlPr>
          </m:sSubPr>
          <m:e>
            <m:r>
              <m:rPr>
                <m:scr m:val="script"/>
                <m:sty m:val="p"/>
              </m:rPr>
              <w:rPr>
                <w:rFonts w:ascii="Cambria Math" w:hAnsi="Cambria Math" w:cs="Arial"/>
                <w:color w:val="222222"/>
              </w:rPr>
              <m:t>F</m:t>
            </m:r>
          </m:e>
          <m:sub>
            <m:r>
              <w:rPr>
                <w:rFonts w:ascii="Cambria Math" w:hAnsi="Cambria Math" w:cs="Arial"/>
                <w:color w:val="222222"/>
              </w:rPr>
              <m:t>κτ</m:t>
            </m:r>
          </m:sub>
        </m:sSub>
      </m:oMath>
      <w:r w:rsidR="00FF29FF">
        <w:rPr>
          <w:rFonts w:ascii="Arial" w:eastAsiaTheme="minorEastAsia" w:hAnsi="Arial" w:cs="Arial"/>
          <w:color w:val="222222"/>
        </w:rPr>
        <w:t xml:space="preserve"> </w:t>
      </w:r>
      <w:r>
        <w:rPr>
          <w:rFonts w:ascii="Arial" w:hAnsi="Arial" w:cs="Arial"/>
          <w:color w:val="222222"/>
          <w:shd w:val="clear" w:color="auto" w:fill="FFFFFF"/>
        </w:rPr>
        <w:t xml:space="preserve">and </w:t>
      </w:r>
      <m:oMath>
        <m:sSub>
          <m:sSubPr>
            <m:ctrlPr>
              <w:rPr>
                <w:rFonts w:ascii="Cambria Math" w:hAnsi="Cambria Math" w:cs="Arial"/>
                <w:color w:val="222222"/>
              </w:rPr>
            </m:ctrlPr>
          </m:sSubPr>
          <m:e>
            <m:r>
              <m:rPr>
                <m:scr m:val="script"/>
                <m:sty m:val="p"/>
              </m:rPr>
              <w:rPr>
                <w:rFonts w:ascii="Cambria Math" w:hAnsi="Cambria Math" w:cs="Arial"/>
                <w:color w:val="222222"/>
              </w:rPr>
              <m:t>F</m:t>
            </m:r>
          </m:e>
          <m:sub>
            <m:r>
              <w:rPr>
                <w:rFonts w:ascii="Cambria Math" w:hAnsi="Cambria Math" w:cs="Arial"/>
                <w:color w:val="222222"/>
              </w:rPr>
              <m:t>κ</m:t>
            </m:r>
            <m:r>
              <m:rPr>
                <m:sty m:val="p"/>
              </m:rPr>
              <w:rPr>
                <w:rFonts w:ascii="Cambria Math" w:hAnsi="Cambria Math" w:cs="Arial"/>
                <w:color w:val="222222"/>
              </w:rPr>
              <m:t>Δ</m:t>
            </m:r>
            <m:r>
              <w:rPr>
                <w:rFonts w:ascii="Cambria Math" w:hAnsi="Cambria Math" w:cs="Arial"/>
                <w:color w:val="222222"/>
              </w:rPr>
              <m:t>ω</m:t>
            </m:r>
          </m:sub>
        </m:sSub>
      </m:oMath>
      <w:r>
        <w:rPr>
          <w:rFonts w:ascii="Arial" w:hAnsi="Arial" w:cs="Arial"/>
          <w:color w:val="222222"/>
          <w:shd w:val="clear" w:color="auto" w:fill="FFFFFF"/>
        </w:rPr>
        <w:t xml:space="preserve"> of the QFIM are both zero, indicating that they are decoupled. However, there is no mathematical proof provided, only a textual discussion. Please provide a rigorous mathematical proof.</w:t>
      </w:r>
      <w:r>
        <w:rPr>
          <w:rFonts w:ascii="Arial" w:hAnsi="Arial" w:cs="Arial"/>
          <w:color w:val="222222"/>
        </w:rPr>
        <w:br/>
      </w:r>
    </w:p>
    <w:p w14:paraId="53CA81EF" w14:textId="77777777" w:rsidR="001F1E41" w:rsidRDefault="001F1E41">
      <w:pPr>
        <w:rPr>
          <w:rFonts w:ascii="Arial" w:hAnsi="Arial" w:cs="Arial"/>
          <w:color w:val="222222"/>
        </w:rPr>
      </w:pPr>
      <w:r>
        <w:rPr>
          <w:rFonts w:ascii="Arial" w:hAnsi="Arial" w:cs="Arial"/>
          <w:color w:val="222222"/>
        </w:rPr>
        <w:lastRenderedPageBreak/>
        <w:t xml:space="preserve">6. </w:t>
      </w:r>
      <w:r>
        <w:rPr>
          <w:rFonts w:ascii="Arial" w:hAnsi="Arial" w:cs="Arial"/>
          <w:color w:val="222222"/>
          <w:shd w:val="clear" w:color="auto" w:fill="FFFFFF"/>
        </w:rPr>
        <w:t xml:space="preserve">In Theorem 6, </w:t>
      </w:r>
      <w:proofErr w:type="spellStart"/>
      <w:r>
        <w:rPr>
          <w:rFonts w:ascii="Arial" w:hAnsi="Arial" w:cs="Arial"/>
          <w:color w:val="222222"/>
          <w:shd w:val="clear" w:color="auto" w:fill="FFFFFF"/>
        </w:rPr>
        <w:t>Eqs</w:t>
      </w:r>
      <w:proofErr w:type="spellEnd"/>
      <w:r>
        <w:rPr>
          <w:rFonts w:ascii="Arial" w:hAnsi="Arial" w:cs="Arial"/>
          <w:color w:val="222222"/>
          <w:shd w:val="clear" w:color="auto" w:fill="FFFFFF"/>
        </w:rPr>
        <w:t>. (42–46) provide the expressions for the elements of the QFIM for the TMSV state. However, when claiming "quantum enhancement" or "quantum advantage," a comparison with the classical optimal benchmark is necessary, which, roughly speaking, means a comparison with the coherent state under the same conditions. Therefore, the expression for the QFIM of the coherent state should also be provided. Although the numerical simulation in Section VII.B compares the TMSV state with the coherent state, only three numerical values (6.0 dB, 4.5 dB, and 5.2 dB) are given and a quantum advantage is claimed. Without the specific expression for the QFIM of the coherent state, these numerical results are not convincing.</w:t>
      </w:r>
      <w:r>
        <w:rPr>
          <w:rFonts w:ascii="Arial" w:hAnsi="Arial" w:cs="Arial"/>
          <w:color w:val="222222"/>
        </w:rPr>
        <w:br/>
      </w:r>
    </w:p>
    <w:p w14:paraId="68E50FB2" w14:textId="7595C3D9" w:rsidR="001F1E41" w:rsidRDefault="001F1E41">
      <w:pPr>
        <w:rPr>
          <w:rFonts w:ascii="Arial" w:hAnsi="Arial" w:cs="Arial"/>
          <w:color w:val="222222"/>
        </w:rPr>
      </w:pPr>
      <w:r>
        <w:rPr>
          <w:rFonts w:ascii="Arial" w:hAnsi="Arial" w:cs="Arial"/>
          <w:color w:val="222222"/>
        </w:rPr>
        <w:t xml:space="preserve">7. </w:t>
      </w:r>
      <w:r>
        <w:rPr>
          <w:rFonts w:ascii="Arial" w:hAnsi="Arial" w:cs="Arial"/>
          <w:color w:val="222222"/>
          <w:shd w:val="clear" w:color="auto" w:fill="FFFFFF"/>
        </w:rPr>
        <w:t xml:space="preserve">Equations (42-46) provide the expressions for the elements of the QFIM, and </w:t>
      </w:r>
      <m:oMath>
        <m:sSup>
          <m:sSupPr>
            <m:ctrlPr>
              <w:rPr>
                <w:rFonts w:ascii="Cambria Math" w:hAnsi="Cambria Math" w:cs="Arial"/>
                <w:color w:val="222222"/>
              </w:rPr>
            </m:ctrlPr>
          </m:sSupPr>
          <m:e>
            <m:r>
              <m:rPr>
                <m:sty m:val="p"/>
              </m:rPr>
              <w:rPr>
                <w:rFonts w:ascii="Cambria Math" w:hAnsi="Cambria Math" w:cs="Arial"/>
                <w:color w:val="222222"/>
              </w:rPr>
              <m:t>sinh</m:t>
            </m:r>
          </m:e>
          <m:sup>
            <m:r>
              <w:rPr>
                <w:rFonts w:ascii="Cambria Math" w:hAnsi="Cambria Math" w:cs="Arial"/>
                <w:color w:val="222222"/>
              </w:rPr>
              <m:t>2</m:t>
            </m:r>
          </m:sup>
        </m:sSup>
        <m:r>
          <w:rPr>
            <w:rFonts w:ascii="Cambria Math" w:hAnsi="Cambria Math" w:cs="Arial"/>
            <w:color w:val="222222"/>
          </w:rPr>
          <m:t>2r≈4</m:t>
        </m:r>
        <m:sSup>
          <m:sSupPr>
            <m:ctrlPr>
              <w:rPr>
                <w:rFonts w:ascii="Cambria Math" w:hAnsi="Cambria Math" w:cs="Arial"/>
                <w:color w:val="222222"/>
              </w:rPr>
            </m:ctrlPr>
          </m:sSupPr>
          <m:e>
            <m:acc>
              <m:accPr>
                <m:chr m:val="̅"/>
                <m:ctrlPr>
                  <w:rPr>
                    <w:rFonts w:ascii="Cambria Math" w:hAnsi="Cambria Math" w:cs="Arial"/>
                    <w:color w:val="222222"/>
                  </w:rPr>
                </m:ctrlPr>
              </m:accPr>
              <m:e>
                <m:r>
                  <w:rPr>
                    <w:rFonts w:ascii="Cambria Math" w:hAnsi="Cambria Math" w:cs="Arial"/>
                    <w:color w:val="222222"/>
                  </w:rPr>
                  <m:t>n</m:t>
                </m:r>
              </m:e>
            </m:acc>
          </m:e>
          <m:sup>
            <m:r>
              <w:rPr>
                <w:rFonts w:ascii="Cambria Math" w:hAnsi="Cambria Math" w:cs="Arial"/>
                <w:color w:val="222222"/>
              </w:rPr>
              <m:t>2</m:t>
            </m:r>
          </m:sup>
        </m:sSup>
      </m:oMath>
      <w:r>
        <w:rPr>
          <w:rFonts w:ascii="Arial" w:hAnsi="Arial" w:cs="Arial"/>
          <w:color w:val="222222"/>
          <w:shd w:val="clear" w:color="auto" w:fill="FFFFFF"/>
        </w:rPr>
        <w:t xml:space="preserve"> is mentioned in Section V.C that the estimation precision therefore reaches the Heisenberg-like limit, which represents a significant advance. However, according to results in the published literatures, in the presence of noise and loss, quantum radar cannot achieve the Heisenberg limit for range and velocity estimation. Since no detailed derivation is given for Eqs. (42–46), this result is not convincing to the reader. Please provide a complete derivation of Theorem 6.</w:t>
      </w:r>
      <w:r>
        <w:rPr>
          <w:rFonts w:ascii="Arial" w:hAnsi="Arial" w:cs="Arial"/>
          <w:color w:val="222222"/>
        </w:rPr>
        <w:br/>
      </w:r>
    </w:p>
    <w:p w14:paraId="493F9557" w14:textId="77777777" w:rsidR="001F1E41" w:rsidRDefault="001F1E41">
      <w:pPr>
        <w:rPr>
          <w:rFonts w:ascii="Arial" w:hAnsi="Arial" w:cs="Arial"/>
          <w:color w:val="222222"/>
        </w:rPr>
      </w:pPr>
      <w:r>
        <w:rPr>
          <w:rFonts w:ascii="Arial" w:hAnsi="Arial" w:cs="Arial"/>
          <w:color w:val="222222"/>
        </w:rPr>
        <w:t xml:space="preserve">8. </w:t>
      </w:r>
      <w:r>
        <w:rPr>
          <w:rFonts w:ascii="Arial" w:hAnsi="Arial" w:cs="Arial"/>
          <w:color w:val="222222"/>
          <w:shd w:val="clear" w:color="auto" w:fill="FFFFFF"/>
        </w:rPr>
        <w:t>Section VII presents the numerical simulation results for parameter estimation using the TMSV state and the corresponding QCRB. However, the QCRB is the ultimate measurement-independent bound; once a specific measurement is employed, the resulting bound can only be referred to as the CRB. Furthermore, it is necessary to compare whether the achieved CRB attains the QCRB, in order to demonstrate that the measurement scheme provided in the manuscript is optimal. If the CRB cannot reach the QCRB, the size of the gap should also be explicitly stated.</w:t>
      </w:r>
      <w:r>
        <w:rPr>
          <w:rFonts w:ascii="Arial" w:hAnsi="Arial" w:cs="Arial"/>
          <w:color w:val="222222"/>
        </w:rPr>
        <w:br/>
      </w:r>
    </w:p>
    <w:p w14:paraId="278D955D" w14:textId="28D8EDDF" w:rsidR="003B7679" w:rsidRPr="00FF29FF" w:rsidRDefault="001F1E41">
      <w:pPr>
        <w:rPr>
          <w:rFonts w:ascii="Arial" w:hAnsi="Arial" w:cs="Arial"/>
          <w:color w:val="222222"/>
        </w:rPr>
      </w:pPr>
      <w:r>
        <w:rPr>
          <w:rFonts w:ascii="Arial" w:hAnsi="Arial" w:cs="Arial"/>
          <w:color w:val="222222"/>
        </w:rPr>
        <w:t xml:space="preserve">9. </w:t>
      </w:r>
      <w:r>
        <w:rPr>
          <w:rFonts w:ascii="Arial" w:hAnsi="Arial" w:cs="Arial"/>
          <w:color w:val="222222"/>
          <w:shd w:val="clear" w:color="auto" w:fill="FFFFFF"/>
        </w:rPr>
        <w:t xml:space="preserve">Many key formulas in the manuscript lack references. If they are the manuscript's own contributions, please provide the derivations; if they are results from the existing literature, please provide the corresponding references. These include, but are not limited to: </w:t>
      </w:r>
      <w:proofErr w:type="spellStart"/>
      <w:r>
        <w:rPr>
          <w:rFonts w:ascii="Arial" w:hAnsi="Arial" w:cs="Arial"/>
          <w:color w:val="222222"/>
          <w:shd w:val="clear" w:color="auto" w:fill="FFFFFF"/>
        </w:rPr>
        <w:t>Eqs</w:t>
      </w:r>
      <w:proofErr w:type="spellEnd"/>
      <w:r>
        <w:rPr>
          <w:rFonts w:ascii="Arial" w:hAnsi="Arial" w:cs="Arial"/>
          <w:color w:val="222222"/>
          <w:shd w:val="clear" w:color="auto" w:fill="FFFFFF"/>
        </w:rPr>
        <w:t xml:space="preserve">. (5) and (6) in Definition 3; </w:t>
      </w:r>
      <w:proofErr w:type="spellStart"/>
      <w:r>
        <w:rPr>
          <w:rFonts w:ascii="Arial" w:hAnsi="Arial" w:cs="Arial"/>
          <w:color w:val="222222"/>
          <w:shd w:val="clear" w:color="auto" w:fill="FFFFFF"/>
        </w:rPr>
        <w:t>Eqs</w:t>
      </w:r>
      <w:proofErr w:type="spellEnd"/>
      <w:r>
        <w:rPr>
          <w:rFonts w:ascii="Arial" w:hAnsi="Arial" w:cs="Arial"/>
          <w:color w:val="222222"/>
          <w:shd w:val="clear" w:color="auto" w:fill="FFFFFF"/>
        </w:rPr>
        <w:t xml:space="preserve">. (15–18) in Theorem 1; </w:t>
      </w:r>
      <w:proofErr w:type="spellStart"/>
      <w:r>
        <w:rPr>
          <w:rFonts w:ascii="Arial" w:hAnsi="Arial" w:cs="Arial"/>
          <w:color w:val="222222"/>
          <w:shd w:val="clear" w:color="auto" w:fill="FFFFFF"/>
        </w:rPr>
        <w:t>Eqs</w:t>
      </w:r>
      <w:proofErr w:type="spellEnd"/>
      <w:r>
        <w:rPr>
          <w:rFonts w:ascii="Arial" w:hAnsi="Arial" w:cs="Arial"/>
          <w:color w:val="222222"/>
          <w:shd w:val="clear" w:color="auto" w:fill="FFFFFF"/>
        </w:rPr>
        <w:t xml:space="preserve">. (24–25) in Theorem 2; Eq. (30) in Theorem 3; and </w:t>
      </w:r>
      <w:proofErr w:type="spellStart"/>
      <w:r>
        <w:rPr>
          <w:rFonts w:ascii="Arial" w:hAnsi="Arial" w:cs="Arial"/>
          <w:color w:val="222222"/>
          <w:shd w:val="clear" w:color="auto" w:fill="FFFFFF"/>
        </w:rPr>
        <w:t>Eqs</w:t>
      </w:r>
      <w:proofErr w:type="spellEnd"/>
      <w:r>
        <w:rPr>
          <w:rFonts w:ascii="Arial" w:hAnsi="Arial" w:cs="Arial"/>
          <w:color w:val="222222"/>
          <w:shd w:val="clear" w:color="auto" w:fill="FFFFFF"/>
        </w:rPr>
        <w:t>. (40–41) in Definition 6.</w:t>
      </w:r>
      <w:r>
        <w:rPr>
          <w:rFonts w:ascii="Arial" w:hAnsi="Arial" w:cs="Arial"/>
          <w:color w:val="222222"/>
        </w:rPr>
        <w:br/>
      </w:r>
      <w:r>
        <w:rPr>
          <w:rFonts w:ascii="Arial" w:hAnsi="Arial" w:cs="Arial"/>
          <w:color w:val="222222"/>
        </w:rPr>
        <w:br/>
      </w:r>
      <w:r w:rsidRPr="001F1E41">
        <w:rPr>
          <w:rStyle w:val="Heading2Char"/>
        </w:rPr>
        <w:t>Reviewer: 2</w:t>
      </w:r>
      <w:r>
        <w:rPr>
          <w:rFonts w:ascii="Arial" w:hAnsi="Arial" w:cs="Arial"/>
          <w:color w:val="222222"/>
        </w:rPr>
        <w:br/>
      </w:r>
      <w:r w:rsidRPr="001F1E41">
        <w:rPr>
          <w:rStyle w:val="Heading3Char"/>
        </w:rPr>
        <w:t>Comments to the Author</w:t>
      </w:r>
      <w:r>
        <w:rPr>
          <w:rFonts w:ascii="Arial" w:hAnsi="Arial" w:cs="Arial"/>
          <w:color w:val="222222"/>
        </w:rPr>
        <w:br/>
      </w:r>
      <w:r>
        <w:rPr>
          <w:rFonts w:ascii="Arial" w:hAnsi="Arial" w:cs="Arial"/>
          <w:color w:val="222222"/>
          <w:shd w:val="clear" w:color="auto" w:fill="FFFFFF"/>
        </w:rPr>
        <w:t xml:space="preserve">The authors attempt to generalize their previous work on </w:t>
      </w:r>
      <w:proofErr w:type="spellStart"/>
      <w:r>
        <w:rPr>
          <w:rFonts w:ascii="Arial" w:hAnsi="Arial" w:cs="Arial"/>
          <w:color w:val="222222"/>
          <w:shd w:val="clear" w:color="auto" w:fill="FFFFFF"/>
        </w:rPr>
        <w:t>fiber</w:t>
      </w:r>
      <w:proofErr w:type="spellEnd"/>
      <w:r>
        <w:rPr>
          <w:rFonts w:ascii="Arial" w:hAnsi="Arial" w:cs="Arial"/>
          <w:color w:val="222222"/>
          <w:shd w:val="clear" w:color="auto" w:fill="FFFFFF"/>
        </w:rPr>
        <w:t xml:space="preserve">-optic quantum communication to the problem of quantum radar. They claim to derive bounds that account for idler-storage decoherence, round-trip losses, and signal dephasing. However, several assumptions underlying their model appear to have been carried over from the </w:t>
      </w:r>
      <w:proofErr w:type="spellStart"/>
      <w:r>
        <w:rPr>
          <w:rFonts w:ascii="Arial" w:hAnsi="Arial" w:cs="Arial"/>
          <w:color w:val="222222"/>
          <w:shd w:val="clear" w:color="auto" w:fill="FFFFFF"/>
        </w:rPr>
        <w:t>fiber</w:t>
      </w:r>
      <w:proofErr w:type="spellEnd"/>
      <w:r>
        <w:rPr>
          <w:rFonts w:ascii="Arial" w:hAnsi="Arial" w:cs="Arial"/>
          <w:color w:val="222222"/>
          <w:shd w:val="clear" w:color="auto" w:fill="FFFFFF"/>
        </w:rPr>
        <w:t xml:space="preserve">-optic setting without adequate physical justification. Moreover, several concepts and results from quantum information theory are invoked imprecisely or outside the conditions under which they apply, casting doubt on the </w:t>
      </w:r>
      <w:r>
        <w:rPr>
          <w:rFonts w:ascii="Arial" w:hAnsi="Arial" w:cs="Arial"/>
          <w:color w:val="222222"/>
          <w:shd w:val="clear" w:color="auto" w:fill="FFFFFF"/>
        </w:rPr>
        <w:lastRenderedPageBreak/>
        <w:t>validity of the subsequent derivations. I discuss some of the major flaws in detail below. In my opinion, these issues are sufficiently fundamental that the manuscript is not suitable for publication.</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1. Equation (6), which is intended to describe turbulence-induced dephasing, appears to have been directly imported from a model of polarization decoherence in optical </w:t>
      </w:r>
      <w:proofErr w:type="spellStart"/>
      <w:r>
        <w:rPr>
          <w:rFonts w:ascii="Arial" w:hAnsi="Arial" w:cs="Arial"/>
          <w:color w:val="222222"/>
          <w:shd w:val="clear" w:color="auto" w:fill="FFFFFF"/>
        </w:rPr>
        <w:t>fibers</w:t>
      </w:r>
      <w:proofErr w:type="spellEnd"/>
      <w:r>
        <w:rPr>
          <w:rFonts w:ascii="Arial" w:hAnsi="Arial" w:cs="Arial"/>
          <w:color w:val="222222"/>
          <w:shd w:val="clear" w:color="auto" w:fill="FFFFFF"/>
        </w:rPr>
        <w:t>, without any physical justification for its applicability to a free-space channel. The phase-damping coefficient is expressed in terms of a turbulence-induced polarization-mode dispersion parameter, yet no argument or reference is provided to support this mode</w:t>
      </w:r>
      <w:r w:rsidR="00FF29FF">
        <w:rPr>
          <w:rFonts w:ascii="Arial" w:hAnsi="Arial" w:cs="Arial"/>
          <w:color w:val="222222"/>
          <w:shd w:val="clear" w:color="auto" w:fill="FFFFFF"/>
        </w:rPr>
        <w:t>l</w:t>
      </w:r>
      <w:r>
        <w:rPr>
          <w:rFonts w:ascii="Arial" w:hAnsi="Arial" w:cs="Arial"/>
          <w:color w:val="222222"/>
          <w:shd w:val="clear" w:color="auto" w:fill="FFFFFF"/>
        </w:rPr>
        <w:t>ling choice. In atmospheric free-space propagation, polarization is generally well preserved, whereas the dominant effects of turbulence arise from random refractive-index fluctuations that distort the spatial mode. It is therefore unclear why the proposed model should provide an appropriate description of atmospheric turbulence in the quantum radar setting.</w:t>
      </w:r>
      <w:r>
        <w:rPr>
          <w:rFonts w:ascii="Arial" w:hAnsi="Arial" w:cs="Arial"/>
          <w:color w:val="222222"/>
        </w:rPr>
        <w:br/>
      </w:r>
      <w:r>
        <w:rPr>
          <w:rFonts w:ascii="Arial" w:hAnsi="Arial" w:cs="Arial"/>
          <w:color w:val="222222"/>
        </w:rPr>
        <w:br/>
      </w:r>
      <w:r>
        <w:rPr>
          <w:rFonts w:ascii="Arial" w:hAnsi="Arial" w:cs="Arial"/>
          <w:color w:val="222222"/>
          <w:shd w:val="clear" w:color="auto" w:fill="FFFFFF"/>
        </w:rPr>
        <w:t>2. The authors introduce a master equation describing the joint evolution of the signal and idler that includes a correlation term between idler losses in the quantum memory and signal losses in the atmospheric round-trip channel. I do not see any physical justification for the existence of such correlations. The corresponding noise processes originate from independent physical mechanisms, and the manuscript provides no argument for why they should be correlated.</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3. 3. The authors define </w:t>
      </w:r>
      <m:oMath>
        <m:r>
          <w:rPr>
            <w:rFonts w:ascii="Cambria Math" w:hAnsi="Cambria Math" w:cs="Arial"/>
            <w:color w:val="222222"/>
          </w:rPr>
          <m:t>F</m:t>
        </m:r>
        <m:d>
          <m:dPr>
            <m:ctrlPr>
              <w:rPr>
                <w:rFonts w:ascii="Cambria Math" w:hAnsi="Cambria Math" w:cs="Arial"/>
                <w:color w:val="222222"/>
              </w:rPr>
            </m:ctrlPr>
          </m:dPr>
          <m:e>
            <m:r>
              <w:rPr>
                <w:rFonts w:ascii="Cambria Math" w:hAnsi="Cambria Math" w:cs="Arial"/>
                <w:color w:val="222222"/>
              </w:rPr>
              <m:t>κ,L,r</m:t>
            </m:r>
          </m:e>
        </m:d>
      </m:oMath>
      <w:r>
        <w:rPr>
          <w:rFonts w:ascii="Arial" w:hAnsi="Arial" w:cs="Arial"/>
          <w:color w:val="222222"/>
          <w:shd w:val="clear" w:color="auto" w:fill="FFFFFF"/>
        </w:rPr>
        <w:t xml:space="preserve"> in Eq. (30) as the “Uhlmann fidelity between the returned signal and the idler reference.” This wording suggests that the fidelity is evaluated between the reduced states of the returned signal and the idler. However, Eq. (30) expresses </w:t>
      </w:r>
      <m:oMath>
        <m:r>
          <w:rPr>
            <w:rFonts w:ascii="Cambria Math" w:hAnsi="Cambria Math" w:cs="Arial"/>
            <w:color w:val="222222"/>
          </w:rPr>
          <m:t>F</m:t>
        </m:r>
      </m:oMath>
      <w:r>
        <w:rPr>
          <w:rFonts w:ascii="Arial" w:hAnsi="Arial" w:cs="Arial"/>
          <w:color w:val="222222"/>
          <w:shd w:val="clear" w:color="auto" w:fill="FFFFFF"/>
        </w:rPr>
        <w:t xml:space="preserve"> in terms of the covariance matrix of the full two-mode output state, including the signal–idler cross correlations. Such correlations cannot enter a fidelity calculated solely between the two reduced states. It is therefore unclear which states the authors are actually comparing in Eq. (30).</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4. The proof of Theorem 4, leading to Eq. (36), does not appear to be mathematically justified. The argument combines several results from quantum hypothesis testing without establishing that their assumptions are satisfied. The authors first invoke the Neyman--Pearson lemma, which addresses asymmetric hypothesis testing under a fixed false-alarm constraint, but then relate the detection and false-alarm probabilities through the quantum Chernoff bound, which instead concerns symmetric hypothesis testing. No argument is given for why the latter result should apply in the Neyman--Pearson setting; the relevant asymptotic result would instead be the quantum Stein lemma. Furthermore, the claim that the fidelity can be identified with the quantum Chernoff quantity is unsupported, and the assumption that the two hypothesis states have equal purity is neither stated precisely nor justified. Finally, even if the cited bounds were applicable, they would at most imply inequalities rather than the equality claimed in Eq. (36). As written, the proof does </w:t>
      </w:r>
      <w:r>
        <w:rPr>
          <w:rFonts w:ascii="Arial" w:hAnsi="Arial" w:cs="Arial"/>
          <w:color w:val="222222"/>
          <w:shd w:val="clear" w:color="auto" w:fill="FFFFFF"/>
        </w:rPr>
        <w:lastRenderedPageBreak/>
        <w:t>not establish the theorem.</w:t>
      </w:r>
      <w:r>
        <w:rPr>
          <w:rFonts w:ascii="Arial" w:hAnsi="Arial" w:cs="Arial"/>
          <w:color w:val="222222"/>
        </w:rPr>
        <w:br/>
      </w:r>
      <w:r>
        <w:rPr>
          <w:rFonts w:ascii="Arial" w:hAnsi="Arial" w:cs="Arial"/>
          <w:color w:val="222222"/>
        </w:rPr>
        <w:br/>
      </w:r>
      <w:r>
        <w:rPr>
          <w:rFonts w:ascii="Arial" w:hAnsi="Arial" w:cs="Arial"/>
          <w:color w:val="222222"/>
          <w:shd w:val="clear" w:color="auto" w:fill="FFFFFF"/>
        </w:rPr>
        <w:t>5. The authors compute the quantum Fisher information matrix for the joint estimation of the channel loss, round-trip time, and Doppler shift. They conclude that, in the high-squeezing regime, all entries of the matrix exhibit Heisenberg scaling, i.e., they scale quadratically with the mean photon number. This result is highly surprising in the presence of channel loss, thermal background noise, and idler-storage decoherence, all of which are generally expected to preclude Heisenberg scaling. Moreover, the manuscript describes this behavio</w:t>
      </w:r>
      <w:r w:rsidR="00FF29FF">
        <w:rPr>
          <w:rFonts w:ascii="Arial" w:hAnsi="Arial" w:cs="Arial"/>
          <w:color w:val="222222"/>
          <w:shd w:val="clear" w:color="auto" w:fill="FFFFFF"/>
        </w:rPr>
        <w:t>u</w:t>
      </w:r>
      <w:r>
        <w:rPr>
          <w:rFonts w:ascii="Arial" w:hAnsi="Arial" w:cs="Arial"/>
          <w:color w:val="222222"/>
          <w:shd w:val="clear" w:color="auto" w:fill="FFFFFF"/>
        </w:rPr>
        <w:t>r as "the characteristic Heisenberg scaling of quantum illumination." To the best of my knowledge, Heisenberg scaling is not a characteristic feature of quantum illumination in the standard lossy and noisy regime. The manuscript should therefore explain how this claim is reconciled with the existing literature and identify the physical mechanism responsible for the reported scaling.</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6. The proof of Theorem 7 does not appear to justify the claimed asymptotic covariance </w:t>
      </w:r>
      <m:oMath>
        <m:sSup>
          <m:sSupPr>
            <m:ctrlPr>
              <w:rPr>
                <w:rFonts w:ascii="Cambria Math" w:hAnsi="Cambria Math" w:cs="Arial"/>
                <w:color w:val="222222"/>
              </w:rPr>
            </m:ctrlPr>
          </m:sSupPr>
          <m:e>
            <m:d>
              <m:dPr>
                <m:ctrlPr>
                  <w:rPr>
                    <w:rFonts w:ascii="Cambria Math" w:hAnsi="Cambria Math" w:cs="Arial"/>
                    <w:color w:val="222222"/>
                  </w:rPr>
                </m:ctrlPr>
              </m:dPr>
              <m:e>
                <m:r>
                  <w:rPr>
                    <w:rFonts w:ascii="Cambria Math" w:hAnsi="Cambria Math" w:cs="Arial"/>
                    <w:color w:val="222222"/>
                  </w:rPr>
                  <m:t>MF</m:t>
                </m:r>
              </m:e>
            </m:d>
          </m:e>
          <m:sup>
            <m:r>
              <w:rPr>
                <w:rFonts w:ascii="Cambria Math" w:hAnsi="Cambria Math" w:cs="Arial"/>
                <w:color w:val="222222"/>
              </w:rPr>
              <m:t>-1</m:t>
            </m:r>
          </m:sup>
        </m:sSup>
      </m:oMath>
      <w:r>
        <w:rPr>
          <w:rFonts w:ascii="Arial" w:hAnsi="Arial" w:cs="Arial"/>
          <w:color w:val="222222"/>
          <w:shd w:val="clear" w:color="auto" w:fill="FFFFFF"/>
        </w:rPr>
        <w:t>. Local asymptotic normality for quantum statistical models is generally used to establish the asymptotic attainability of the Holevo</w:t>
      </w:r>
      <w:r w:rsidR="00FF29FF">
        <w:rPr>
          <w:rFonts w:ascii="Arial" w:hAnsi="Arial" w:cs="Arial"/>
          <w:color w:val="222222"/>
          <w:shd w:val="clear" w:color="auto" w:fill="FFFFFF"/>
        </w:rPr>
        <w:t>-</w:t>
      </w:r>
      <w:r>
        <w:rPr>
          <w:rFonts w:ascii="Arial" w:hAnsi="Arial" w:cs="Arial"/>
          <w:color w:val="222222"/>
          <w:shd w:val="clear" w:color="auto" w:fill="FFFFFF"/>
        </w:rPr>
        <w:t>Cramér–Rao bound, not of the SLD Cramér–Rao bound in an arbitrary multiparameter model. Attainability of the latter requires additional compatibility conditions, such as weak commutativity of the SLDs, which the authors neither state nor verify. The assertion that an “SLD-adaptive POVM” is optimal is therefore unsupported, and the proof does not establish Theorem 7.</w:t>
      </w:r>
    </w:p>
    <w:sectPr w:rsidR="003B7679" w:rsidRPr="00FF29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E41"/>
    <w:rsid w:val="00080D17"/>
    <w:rsid w:val="001831A7"/>
    <w:rsid w:val="001F1E41"/>
    <w:rsid w:val="0026238F"/>
    <w:rsid w:val="003B7679"/>
    <w:rsid w:val="00733730"/>
    <w:rsid w:val="00853389"/>
    <w:rsid w:val="00FF29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B271F95"/>
  <w15:chartTrackingRefBased/>
  <w15:docId w15:val="{C435FC3C-85DF-3C47-865D-0B1920743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E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1E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1E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F1E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E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E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1E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1E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F1E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E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E41"/>
    <w:rPr>
      <w:rFonts w:eastAsiaTheme="majorEastAsia" w:cstheme="majorBidi"/>
      <w:color w:val="272727" w:themeColor="text1" w:themeTint="D8"/>
    </w:rPr>
  </w:style>
  <w:style w:type="paragraph" w:styleId="Title">
    <w:name w:val="Title"/>
    <w:basedOn w:val="Normal"/>
    <w:next w:val="Normal"/>
    <w:link w:val="TitleChar"/>
    <w:uiPriority w:val="10"/>
    <w:qFormat/>
    <w:rsid w:val="001F1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E41"/>
    <w:pPr>
      <w:spacing w:before="160"/>
      <w:jc w:val="center"/>
    </w:pPr>
    <w:rPr>
      <w:i/>
      <w:iCs/>
      <w:color w:val="404040" w:themeColor="text1" w:themeTint="BF"/>
    </w:rPr>
  </w:style>
  <w:style w:type="character" w:customStyle="1" w:styleId="QuoteChar">
    <w:name w:val="Quote Char"/>
    <w:basedOn w:val="DefaultParagraphFont"/>
    <w:link w:val="Quote"/>
    <w:uiPriority w:val="29"/>
    <w:rsid w:val="001F1E41"/>
    <w:rPr>
      <w:i/>
      <w:iCs/>
      <w:color w:val="404040" w:themeColor="text1" w:themeTint="BF"/>
    </w:rPr>
  </w:style>
  <w:style w:type="paragraph" w:styleId="ListParagraph">
    <w:name w:val="List Paragraph"/>
    <w:basedOn w:val="Normal"/>
    <w:uiPriority w:val="34"/>
    <w:qFormat/>
    <w:rsid w:val="001F1E41"/>
    <w:pPr>
      <w:ind w:left="720"/>
      <w:contextualSpacing/>
    </w:pPr>
  </w:style>
  <w:style w:type="character" w:styleId="IntenseEmphasis">
    <w:name w:val="Intense Emphasis"/>
    <w:basedOn w:val="DefaultParagraphFont"/>
    <w:uiPriority w:val="21"/>
    <w:qFormat/>
    <w:rsid w:val="001F1E41"/>
    <w:rPr>
      <w:i/>
      <w:iCs/>
      <w:color w:val="0F4761" w:themeColor="accent1" w:themeShade="BF"/>
    </w:rPr>
  </w:style>
  <w:style w:type="paragraph" w:styleId="IntenseQuote">
    <w:name w:val="Intense Quote"/>
    <w:basedOn w:val="Normal"/>
    <w:next w:val="Normal"/>
    <w:link w:val="IntenseQuoteChar"/>
    <w:uiPriority w:val="30"/>
    <w:qFormat/>
    <w:rsid w:val="001F1E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E41"/>
    <w:rPr>
      <w:i/>
      <w:iCs/>
      <w:color w:val="0F4761" w:themeColor="accent1" w:themeShade="BF"/>
    </w:rPr>
  </w:style>
  <w:style w:type="character" w:styleId="IntenseReference">
    <w:name w:val="Intense Reference"/>
    <w:basedOn w:val="DefaultParagraphFont"/>
    <w:uiPriority w:val="32"/>
    <w:qFormat/>
    <w:rsid w:val="001F1E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1907</Words>
  <Characters>10871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Kaumud Sharma</dc:creator>
  <cp:keywords/>
  <dc:description/>
  <cp:lastModifiedBy>Kaumud Sharma</cp:lastModifiedBy>
  <cp:revision>1</cp:revision>
  <dcterms:created xsi:type="dcterms:W3CDTF">2026-07-23T14:58:00Z</dcterms:created>
  <dcterms:modified xsi:type="dcterms:W3CDTF">2026-07-23T22:46:00Z</dcterms:modified>
</cp:coreProperties>
</file>