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Github Repo: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https://github.com/KaunazDagaz/Assingnment6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Link to the contract: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https://sepolia.etherscan.io/address/0x913C1b6cC43163d3eb263cA4cadF2a51Cc53F9c4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-915824</wp:posOffset>
            </wp:positionH>
            <wp:positionV relativeFrom="paragraph">
              <wp:posOffset>114300</wp:posOffset>
            </wp:positionV>
            <wp:extent cx="7558088" cy="2101889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8088" cy="2101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aunazDagaz/Assingnment6" TargetMode="External"/><Relationship Id="rId7" Type="http://schemas.openxmlformats.org/officeDocument/2006/relationships/hyperlink" Target="https://sepolia.etherscan.io/address/0x913C1b6cC43163d3eb263cA4cadF2a51Cc53F9c4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