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Interpretable Attention-Based Deep Learning for Short-Term Building Energy Forecasting: A Comparative Study on the Building Data Genome 2 Dataset</w:t>
      </w:r>
    </w:p>
    <w:p>
      <w:pPr>
        <w:pStyle w:val="Heading1"/>
      </w:pPr>
      <w:r>
        <w:t>Abstract</w:t>
      </w:r>
    </w:p>
    <w:p>
      <w:r>
        <w:t xml:space="preserve">Short-term building energy forecasting underpins demand response, model predictive control, and measurement &amp; verification, yet deep models are often deployed as black boxes. We present a controlled comparative study of eleven forecasting models - naive baselines, a regularized linear model, a gradient-boosted tree ensemble, recurrent (LSTM, GRU), convolutional (TCN, CNN-LSTM), and attention-based architectures (Transformer, attention-LSTM, and the Temporal Fusion Transformer, TFT) - for day-ahead (24 h) hourly electricity-load forecasting on 32 buildings spanning 16 sites of the Building Data Genome Project 2 (BDG2). All models share an identical 168 h-lookback / 24 h-horizon windowing, feature set, and chronological split, isolating the effect of the model class. The strongest models by RMSE are </w:t>
      </w:r>
      <w:r>
        <w:rPr>
          <w:b/>
        </w:rPr>
        <w:t>LightGBM</w:t>
      </w:r>
      <w:r>
        <w:t xml:space="preserve"> (CV-RMSE </w:t>
      </w:r>
      <w:r>
        <w:rPr>
          <w:b/>
        </w:rPr>
        <w:t>19.73%</w:t>
      </w:r>
      <w:r>
        <w:t xml:space="preserve">, RMSE 39.99 kWh, R2 0.971) and the attention-based </w:t>
      </w:r>
      <w:r>
        <w:rPr>
          <w:b/>
        </w:rPr>
        <w:t>Transformer</w:t>
      </w:r>
      <w:r>
        <w:t>, which are statistically indistinguishable - the Transformer in fact attains the lowest MAE overall - while the recurrent and convolutional models trail. Beyond accuracy, we show the attention mechanisms are *interpretable*: the TFT's temporal attention exhibits clear daily (24 h) periodicity over the week-long lookback identified in exploratory analysis, and its variable-selection networks recover physically meaningful drivers, agreeing with model-agnostic gradient-boosting importances. We further assess external generalization on the ASHRAE GEPIII dataset using buildings disjoint from training. Code and configuration are released for full reproducibility.</w:t>
      </w:r>
    </w:p>
    <w:p>
      <w:pPr>
        <w:pStyle w:val="Heading1"/>
      </w:pPr>
      <w:r>
        <w:t>1. Introduction</w:t>
      </w:r>
    </w:p>
    <w:p>
      <w:r>
        <w:t>Buildings account for a large share of global electricity use, and accurate short-term load forecasts are central to grid flexibility, demand response, and supervisory control. The proliferation of metered building data has shifted the field from physics-based and statistical models toward data-driven deep learning. However, two gaps persist. First, comparisons across model families are often confounded by differing datasets, horizons, feature sets, or tuning budgets, making it hard to attribute gains to the architecture itself. Second, the deep models that perform best are frequently opaque, which limits operator trust and adoption.</w:t>
      </w:r>
    </w:p>
    <w:p>
      <w:r>
        <w:t>This paper addresses both gaps. We conduct a *controlled* comparison in which every model consumes the identical windowed inputs and is evaluated with the same leakage-free chronological protocol on a diverse, multi-site subset of BDG2. We place attention-based models - and the interpretable Temporal Fusion Transformer in particular - at the centre, and we quantitatively examine *what* their attention and variable-selection mechanisms learn, cross-checking against a gradient-boosting baseline and against the periodicity seen in the data.</w:t>
      </w:r>
    </w:p>
    <w:p>
      <w:r/>
      <w:r>
        <w:rPr>
          <w:b/>
        </w:rPr>
        <w:t>Contributions.</w:t>
      </w:r>
      <w:r>
        <w:t xml:space="preserve"> (i) A reproducible, controlled benchmark of eleven models for day-ahead building electricity forecasting on 32 BDG2 buildings; (ii) an interpretability analysis showing attention recovers daily/weekly structure and physically meaningful covariates; (iii) an external-validation protocol on ASHRAE GEPIII with explicit overlap control; and (iv) an open, configurable codebase.</w:t>
      </w:r>
    </w:p>
    <w:p>
      <w:pPr>
        <w:pStyle w:val="Heading1"/>
      </w:pPr>
      <w:r>
        <w:t>2. Related Work</w:t>
      </w:r>
    </w:p>
    <w:p>
      <w:r>
        <w:t>*Building load forecasting* spans statistical methods (ARIMA, exponential smoothing, linear regression with calendar/weather regressors) and machine learning (random forests, gradient boosting). *Deep sequence models* - LSTM and GRU encoder-decoders, temporal convolutional networks - capture nonlinear temporal dependencies and frequently outperform classical baselines. *Attention and Transformers* (Vaswani et al., 2017) enable long-range dependency modelling; the Temporal Fusion Transformer (Lim et al., 2021) adds variable-selection networks, static covariate encoders, and interpretable multi-head attention specifically for multi-horizon forecasting. *Benchmark datasets*: the Building Data Genome Project 2 (Miller et al., 2020) provides two years of hourly meter data for &gt;1,600 buildings; the ASHRAE Great Energy Predictor III competition (GEPIII) popularized large-scale cross-building forecasting. Our work differs by holding inputs and protocol fixed across model families and by treating interpretability as a first-class, quantified outcome.</w:t>
      </w:r>
    </w:p>
    <w:p>
      <w:pPr>
        <w:pStyle w:val="Heading1"/>
      </w:pPr>
      <w:r>
        <w:t>3. Data</w:t>
      </w:r>
    </w:p>
    <w:p>
      <w:pPr>
        <w:pStyle w:val="Heading2"/>
      </w:pPr>
      <w:r>
        <w:t>3.1 Building Data Genome Project 2</w:t>
      </w:r>
    </w:p>
    <w:p>
      <w:r>
        <w:t xml:space="preserve">BDG2 contains hourly readings for multiple meter types across 19 sites over 2016-2017. We focus on the </w:t>
      </w:r>
      <w:r>
        <w:rPr>
          <w:b/>
        </w:rPr>
        <w:t>electricity</w:t>
      </w:r>
      <w:r>
        <w:t xml:space="preserve"> meter. From the cleaned matrix we select </w:t>
      </w:r>
      <w:r>
        <w:rPr>
          <w:b/>
        </w:rPr>
        <w:t>32 buildings across 16 sites</w:t>
      </w:r>
      <w:r>
        <w:t xml:space="preserve"> by data completeness (&gt;= 90% non-missing hours) and non-trivial load, using a round-robin across sites to preserve diversity. The resulting subset spans the building types below.</w:t>
      </w:r>
    </w:p>
    <w:tbl>
      <w:tblPr>
        <w:tblStyle w:val="LightGrid-Accent1"/>
        <w:tblW w:type="auto" w:w="0"/>
        <w:tblLook w:firstColumn="1" w:firstRow="1" w:lastColumn="0" w:lastRow="0" w:noHBand="0" w:noVBand="1" w:val="04A0"/>
      </w:tblPr>
      <w:tblGrid>
        <w:gridCol w:w="4320"/>
        <w:gridCol w:w="4320"/>
      </w:tblGrid>
      <w:tr>
        <w:tc>
          <w:tcPr>
            <w:tcW w:type="dxa" w:w="4320"/>
          </w:tcPr>
          <w:p>
            <w:r>
              <w:rPr>
                <w:b/>
              </w:rPr>
              <w:t>Primary use</w:t>
            </w:r>
          </w:p>
        </w:tc>
        <w:tc>
          <w:tcPr>
            <w:tcW w:type="dxa" w:w="4320"/>
          </w:tcPr>
          <w:p>
            <w:r>
              <w:rPr>
                <w:b/>
              </w:rPr>
              <w:t># buildings</w:t>
            </w:r>
          </w:p>
        </w:tc>
      </w:tr>
      <w:tr>
        <w:tc>
          <w:tcPr>
            <w:tcW w:type="dxa" w:w="4320"/>
          </w:tcPr>
          <w:p>
            <w:r>
              <w:t>Education</w:t>
            </w:r>
          </w:p>
        </w:tc>
        <w:tc>
          <w:tcPr>
            <w:tcW w:type="dxa" w:w="4320"/>
          </w:tcPr>
          <w:p>
            <w:r>
              <w:t>13</w:t>
            </w:r>
          </w:p>
        </w:tc>
      </w:tr>
      <w:tr>
        <w:tc>
          <w:tcPr>
            <w:tcW w:type="dxa" w:w="4320"/>
          </w:tcPr>
          <w:p>
            <w:r>
              <w:t>Office</w:t>
            </w:r>
          </w:p>
        </w:tc>
        <w:tc>
          <w:tcPr>
            <w:tcW w:type="dxa" w:w="4320"/>
          </w:tcPr>
          <w:p>
            <w:r>
              <w:t>5</w:t>
            </w:r>
          </w:p>
        </w:tc>
      </w:tr>
      <w:tr>
        <w:tc>
          <w:tcPr>
            <w:tcW w:type="dxa" w:w="4320"/>
          </w:tcPr>
          <w:p>
            <w:r>
              <w:t>Lodging/residential</w:t>
            </w:r>
          </w:p>
        </w:tc>
        <w:tc>
          <w:tcPr>
            <w:tcW w:type="dxa" w:w="4320"/>
          </w:tcPr>
          <w:p>
            <w:r>
              <w:t>4</w:t>
            </w:r>
          </w:p>
        </w:tc>
      </w:tr>
      <w:tr>
        <w:tc>
          <w:tcPr>
            <w:tcW w:type="dxa" w:w="4320"/>
          </w:tcPr>
          <w:p>
            <w:r>
              <w:t>Public services</w:t>
            </w:r>
          </w:p>
        </w:tc>
        <w:tc>
          <w:tcPr>
            <w:tcW w:type="dxa" w:w="4320"/>
          </w:tcPr>
          <w:p>
            <w:r>
              <w:t>2</w:t>
            </w:r>
          </w:p>
        </w:tc>
      </w:tr>
      <w:tr>
        <w:tc>
          <w:tcPr>
            <w:tcW w:type="dxa" w:w="4320"/>
          </w:tcPr>
          <w:p>
            <w:r>
              <w:t>Entertainment/public assembly</w:t>
            </w:r>
          </w:p>
        </w:tc>
        <w:tc>
          <w:tcPr>
            <w:tcW w:type="dxa" w:w="4320"/>
          </w:tcPr>
          <w:p>
            <w:r>
              <w:t>2</w:t>
            </w:r>
          </w:p>
        </w:tc>
      </w:tr>
      <w:tr>
        <w:tc>
          <w:tcPr>
            <w:tcW w:type="dxa" w:w="4320"/>
          </w:tcPr>
          <w:p>
            <w:r>
              <w:t>Healthcare</w:t>
            </w:r>
          </w:p>
        </w:tc>
        <w:tc>
          <w:tcPr>
            <w:tcW w:type="dxa" w:w="4320"/>
          </w:tcPr>
          <w:p>
            <w:r>
              <w:t>2</w:t>
            </w:r>
          </w:p>
        </w:tc>
      </w:tr>
      <w:tr>
        <w:tc>
          <w:tcPr>
            <w:tcW w:type="dxa" w:w="4320"/>
          </w:tcPr>
          <w:p>
            <w:r>
              <w:t>Manufacturing/industrial</w:t>
            </w:r>
          </w:p>
        </w:tc>
        <w:tc>
          <w:tcPr>
            <w:tcW w:type="dxa" w:w="4320"/>
          </w:tcPr>
          <w:p>
            <w:r>
              <w:t>1</w:t>
            </w:r>
          </w:p>
        </w:tc>
      </w:tr>
      <w:tr>
        <w:tc>
          <w:tcPr>
            <w:tcW w:type="dxa" w:w="4320"/>
          </w:tcPr>
          <w:p>
            <w:r>
              <w:t>Other</w:t>
            </w:r>
          </w:p>
        </w:tc>
        <w:tc>
          <w:tcPr>
            <w:tcW w:type="dxa" w:w="4320"/>
          </w:tcPr>
          <w:p>
            <w:r>
              <w:t>1</w:t>
            </w:r>
          </w:p>
        </w:tc>
      </w:tr>
      <w:tr>
        <w:tc>
          <w:tcPr>
            <w:tcW w:type="dxa" w:w="4320"/>
          </w:tcPr>
          <w:p>
            <w:r>
              <w:t>Services</w:t>
            </w:r>
          </w:p>
        </w:tc>
        <w:tc>
          <w:tcPr>
            <w:tcW w:type="dxa" w:w="4320"/>
          </w:tcPr>
          <w:p>
            <w:r>
              <w:t>1</w:t>
            </w:r>
          </w:p>
        </w:tc>
      </w:tr>
      <w:tr>
        <w:tc>
          <w:tcPr>
            <w:tcW w:type="dxa" w:w="4320"/>
          </w:tcPr>
          <w:p>
            <w:r>
              <w:t>Retail</w:t>
            </w:r>
          </w:p>
        </w:tc>
        <w:tc>
          <w:tcPr>
            <w:tcW w:type="dxa" w:w="4320"/>
          </w:tcPr>
          <w:p>
            <w:r>
              <w:t>1</w:t>
            </w:r>
          </w:p>
        </w:tc>
      </w:tr>
    </w:tbl>
    <w:p>
      <w:r>
        <w:t>Each reading is paired with per-site weather (air/dew temperature, wind speed, cloud coverage, sea-level pressure) and static building attributes (primary use, floor area, year built). Short gaps (&lt;= 3 h) are linearly interpolated; longer gaps are excluded at the window level.</w:t>
      </w:r>
    </w:p>
    <w:p>
      <w:pPr>
        <w:pStyle w:val="Heading2"/>
      </w:pPr>
      <w:r>
        <w:t>3.2 ASHRAE GEPIII (external validation)</w:t>
      </w:r>
    </w:p>
    <w:p>
      <w:r>
        <w:t xml:space="preserve">GEPIII shares provenance with BDG2. To avoid leakage we use the BDG2 metadata's Kaggle-id linkage to </w:t>
      </w:r>
      <w:r>
        <w:rPr>
          <w:b/>
        </w:rPr>
        <w:t>exclude any GEPIII building present in our BDG2 training set</w:t>
      </w:r>
      <w:r>
        <w:t>, and evaluate zero-shot transfer (and optional fine-tuning) on the remaining, disjoint electricity buildings.</w:t>
      </w:r>
    </w:p>
    <w:p>
      <w:pPr>
        <w:jc w:val="center"/>
      </w:pPr>
      <w:r>
        <w:drawing>
          <wp:inline xmlns:a="http://schemas.openxmlformats.org/drawingml/2006/main" xmlns:pic="http://schemas.openxmlformats.org/drawingml/2006/picture">
            <wp:extent cx="5486400" cy="2565838"/>
            <wp:docPr id="1" name="Picture 1"/>
            <wp:cNvGraphicFramePr>
              <a:graphicFrameLocks noChangeAspect="1"/>
            </wp:cNvGraphicFramePr>
            <a:graphic>
              <a:graphicData uri="http://schemas.openxmlformats.org/drawingml/2006/picture">
                <pic:pic>
                  <pic:nvPicPr>
                    <pic:cNvPr id="0" name="eda_01_composition.png"/>
                    <pic:cNvPicPr/>
                  </pic:nvPicPr>
                  <pic:blipFill>
                    <a:blip r:embed="rId9"/>
                    <a:stretch>
                      <a:fillRect/>
                    </a:stretch>
                  </pic:blipFill>
                  <pic:spPr>
                    <a:xfrm>
                      <a:off x="0" y="0"/>
                      <a:ext cx="5486400" cy="2565838"/>
                    </a:xfrm>
                    <a:prstGeom prst="rect"/>
                  </pic:spPr>
                </pic:pic>
              </a:graphicData>
            </a:graphic>
          </wp:inline>
        </w:drawing>
      </w:r>
    </w:p>
    <w:p>
      <w:pPr>
        <w:jc w:val="center"/>
      </w:pPr>
      <w:r>
        <w:rPr>
          <w:i/>
          <w:sz w:val="18"/>
        </w:rPr>
        <w:t>Figure 1. Subset composition by site and primary use.</w:t>
      </w:r>
    </w:p>
    <w:p>
      <w:pPr>
        <w:pStyle w:val="Heading1"/>
      </w:pPr>
      <w:r>
        <w:t>4. Methodology</w:t>
      </w:r>
    </w:p>
    <w:p>
      <w:pPr>
        <w:pStyle w:val="Heading2"/>
      </w:pPr>
      <w:r>
        <w:t>4.1 Problem formulation</w:t>
      </w:r>
    </w:p>
    <w:p>
      <w:r>
        <w:t xml:space="preserve">Given the previous </w:t>
      </w:r>
      <w:r>
        <w:rPr>
          <w:b/>
        </w:rPr>
        <w:t>168 h</w:t>
      </w:r>
      <w:r>
        <w:t xml:space="preserve"> of load and covariates, predict the next </w:t>
      </w:r>
      <w:r>
        <w:rPr>
          <w:b/>
        </w:rPr>
        <w:t>24 h</w:t>
      </w:r>
      <w:r>
        <w:t xml:space="preserve"> of hourly electricity (a day-ahead, multi-horizon task). We learn a single *global* model with per-building static covariates, rather than one model per building.</w:t>
      </w:r>
    </w:p>
    <w:p>
      <w:pPr>
        <w:pStyle w:val="Heading2"/>
      </w:pPr>
      <w:r>
        <w:t>4.2 Features and preprocessing</w:t>
      </w:r>
    </w:p>
    <w:p>
      <w:r>
        <w:t>Inputs comprise: (a) the scaled target history; (b) *known* time-varying covariates available for both past and future windows - cyclical encodings of hour, day-of-week and month, weekend and holiday flags (per-site holiday calendars), and weather; and (c) static building covariates. The target is transformed as a per-building z-score of log(1+kWh); all scalers are fit on the training period only.</w:t>
      </w:r>
    </w:p>
    <w:p>
      <w:pPr>
        <w:pStyle w:val="Heading2"/>
      </w:pPr>
      <w:r>
        <w:t>4.3 Models</w:t>
      </w:r>
    </w:p>
    <w:p>
      <w:r>
        <w:t xml:space="preserve">- </w:t>
      </w:r>
      <w:r>
        <w:rPr>
          <w:b/>
        </w:rPr>
        <w:t>Naive</w:t>
      </w:r>
      <w:r>
        <w:t>: persistence (last value) and seasonal-naive (previous day's profile).</w:t>
      </w:r>
    </w:p>
    <w:p>
      <w:r>
        <w:t xml:space="preserve">- </w:t>
      </w:r>
      <w:r>
        <w:rPr>
          <w:b/>
        </w:rPr>
        <w:t>Ridge</w:t>
      </w:r>
      <w:r>
        <w:t>: regularized linear regression on lag/rolling/calendar/weather/static features (direct multi-horizon).</w:t>
      </w:r>
    </w:p>
    <w:p>
      <w:r>
        <w:t xml:space="preserve">- </w:t>
      </w:r>
      <w:r>
        <w:rPr>
          <w:b/>
        </w:rPr>
        <w:t>LightGBM</w:t>
      </w:r>
      <w:r>
        <w:t>: gradient-boosted trees on the same tabular features.</w:t>
      </w:r>
    </w:p>
    <w:p>
      <w:r>
        <w:t xml:space="preserve">- </w:t>
      </w:r>
      <w:r>
        <w:rPr>
          <w:b/>
        </w:rPr>
        <w:t>LSTM / GRU</w:t>
      </w:r>
      <w:r>
        <w:t>: recurrent encoder-decoder seq2seq.</w:t>
      </w:r>
    </w:p>
    <w:p>
      <w:r>
        <w:t xml:space="preserve">- </w:t>
      </w:r>
      <w:r>
        <w:rPr>
          <w:b/>
        </w:rPr>
        <w:t>TCN / CNN-LSTM</w:t>
      </w:r>
      <w:r>
        <w:t>: convolutional encoders with a covariate-conditioned decoder.</w:t>
      </w:r>
    </w:p>
    <w:p>
      <w:r>
        <w:t xml:space="preserve">- </w:t>
      </w:r>
      <w:r>
        <w:rPr>
          <w:b/>
        </w:rPr>
        <w:t>Transformer</w:t>
      </w:r>
      <w:r>
        <w:t>: encoder with an interpretable decoder-&gt;encoder cross-attention.</w:t>
      </w:r>
    </w:p>
    <w:p>
      <w:r>
        <w:t xml:space="preserve">- </w:t>
      </w:r>
      <w:r>
        <w:rPr>
          <w:b/>
        </w:rPr>
        <w:t>Attention-LSTM</w:t>
      </w:r>
      <w:r>
        <w:t>: recurrent encoder-decoder with Luong global attention.</w:t>
      </w:r>
    </w:p>
    <w:p>
      <w:r>
        <w:t xml:space="preserve">- </w:t>
      </w:r>
      <w:r>
        <w:rPr>
          <w:b/>
        </w:rPr>
        <w:t>TFT</w:t>
      </w:r>
      <w:r>
        <w:t>: variable-selection networks, static covariate encoders, an LSTM locality layer, and interpretable multi-head temporal attention.</w:t>
      </w:r>
    </w:p>
    <w:p>
      <w:pPr>
        <w:pStyle w:val="Heading2"/>
      </w:pPr>
      <w:r>
        <w:t>4.4 Training protocol</w:t>
      </w:r>
    </w:p>
    <w:p>
      <w:r>
        <w:t>All deep models share the optimizer (Adam), loss (MAE in scaled space), batch size (128), early stopping (patience 7), gradient clipping, and a fixed seed (42). The chronological split uses train &lt;= 2017-08-31, validation &lt;= 2017-10-31, and test thereafter; windows straddling a boundary are dropped so labels never leak across splits.</w:t>
      </w:r>
    </w:p>
    <w:p>
      <w:pPr>
        <w:pStyle w:val="Heading2"/>
      </w:pPr>
      <w:r>
        <w:t>4.5 Metrics</w:t>
      </w:r>
    </w:p>
    <w:p>
      <w:r>
        <w:t>We report MAE, RMSE, MAPE/sMAPE, the ASHRAE CV-RMSE, NRMSE, mean bias error, and R2 (all in kWh after inverse transform), plus per-horizon and per-building-type breakdowns, skill scores vs the seasonal-naive baseline, and significance tests (Wilcoxon signed-rank and Diebold-Mariano) against the best model.</w:t>
      </w:r>
    </w:p>
    <w:p>
      <w:pPr>
        <w:pStyle w:val="Heading1"/>
      </w:pPr>
      <w:r>
        <w:t>5. Results</w:t>
      </w:r>
    </w:p>
    <w:p>
      <w:pPr>
        <w:pStyle w:val="Heading2"/>
      </w:pPr>
      <w:r>
        <w:t>5.1 Overall accuracy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MAE</w:t>
            </w:r>
          </w:p>
        </w:tc>
        <w:tc>
          <w:tcPr>
            <w:tcW w:type="dxa" w:w="1234"/>
          </w:tcPr>
          <w:p>
            <w:r>
              <w:rPr>
                <w:b/>
              </w:rPr>
              <w:t>RMSE</w:t>
            </w:r>
          </w:p>
        </w:tc>
        <w:tc>
          <w:tcPr>
            <w:tcW w:type="dxa" w:w="1234"/>
          </w:tcPr>
          <w:p>
            <w:r>
              <w:rPr>
                <w:b/>
              </w:rPr>
              <w:t>CV_RMSE</w:t>
            </w:r>
          </w:p>
        </w:tc>
        <w:tc>
          <w:tcPr>
            <w:tcW w:type="dxa" w:w="1234"/>
          </w:tcPr>
          <w:p>
            <w:r>
              <w:rPr>
                <w:b/>
              </w:rPr>
              <w:t>sMAPE</w:t>
            </w:r>
          </w:p>
        </w:tc>
        <w:tc>
          <w:tcPr>
            <w:tcW w:type="dxa" w:w="1234"/>
          </w:tcPr>
          <w:p>
            <w:r>
              <w:rPr>
                <w:b/>
              </w:rPr>
              <w:t>R2</w:t>
            </w:r>
          </w:p>
        </w:tc>
        <w:tc>
          <w:tcPr>
            <w:tcW w:type="dxa" w:w="1234"/>
          </w:tcPr>
          <w:p>
            <w:r>
              <w:rPr>
                <w:b/>
              </w:rPr>
              <w:t>MBE</w:t>
            </w:r>
          </w:p>
        </w:tc>
      </w:tr>
      <w:tr>
        <w:tc>
          <w:tcPr>
            <w:tcW w:type="dxa" w:w="1234"/>
          </w:tcPr>
          <w:p>
            <w:r>
              <w:t>LightGBM</w:t>
            </w:r>
          </w:p>
        </w:tc>
        <w:tc>
          <w:tcPr>
            <w:tcW w:type="dxa" w:w="1234"/>
          </w:tcPr>
          <w:p>
            <w:r>
              <w:t>14.367</w:t>
            </w:r>
          </w:p>
        </w:tc>
        <w:tc>
          <w:tcPr>
            <w:tcW w:type="dxa" w:w="1234"/>
          </w:tcPr>
          <w:p>
            <w:r>
              <w:t>39.992</w:t>
            </w:r>
          </w:p>
        </w:tc>
        <w:tc>
          <w:tcPr>
            <w:tcW w:type="dxa" w:w="1234"/>
          </w:tcPr>
          <w:p>
            <w:r>
              <w:t>19.734</w:t>
            </w:r>
          </w:p>
        </w:tc>
        <w:tc>
          <w:tcPr>
            <w:tcW w:type="dxa" w:w="1234"/>
          </w:tcPr>
          <w:p>
            <w:r>
              <w:t>8.778</w:t>
            </w:r>
          </w:p>
        </w:tc>
        <w:tc>
          <w:tcPr>
            <w:tcW w:type="dxa" w:w="1234"/>
          </w:tcPr>
          <w:p>
            <w:r>
              <w:t>0.971</w:t>
            </w:r>
          </w:p>
        </w:tc>
        <w:tc>
          <w:tcPr>
            <w:tcW w:type="dxa" w:w="1234"/>
          </w:tcPr>
          <w:p>
            <w:r>
              <w:t>-1.577</w:t>
            </w:r>
          </w:p>
        </w:tc>
      </w:tr>
      <w:tr>
        <w:tc>
          <w:tcPr>
            <w:tcW w:type="dxa" w:w="1234"/>
          </w:tcPr>
          <w:p>
            <w:r>
              <w:t>Transformer</w:t>
            </w:r>
          </w:p>
        </w:tc>
        <w:tc>
          <w:tcPr>
            <w:tcW w:type="dxa" w:w="1234"/>
          </w:tcPr>
          <w:p>
            <w:r>
              <w:t>13.809</w:t>
            </w:r>
          </w:p>
        </w:tc>
        <w:tc>
          <w:tcPr>
            <w:tcW w:type="dxa" w:w="1234"/>
          </w:tcPr>
          <w:p>
            <w:r>
              <w:t>40.091</w:t>
            </w:r>
          </w:p>
        </w:tc>
        <w:tc>
          <w:tcPr>
            <w:tcW w:type="dxa" w:w="1234"/>
          </w:tcPr>
          <w:p>
            <w:r>
              <w:t>19.783</w:t>
            </w:r>
          </w:p>
        </w:tc>
        <w:tc>
          <w:tcPr>
            <w:tcW w:type="dxa" w:w="1234"/>
          </w:tcPr>
          <w:p>
            <w:r>
              <w:t>8.34</w:t>
            </w:r>
          </w:p>
        </w:tc>
        <w:tc>
          <w:tcPr>
            <w:tcW w:type="dxa" w:w="1234"/>
          </w:tcPr>
          <w:p>
            <w:r>
              <w:t>0.971</w:t>
            </w:r>
          </w:p>
        </w:tc>
        <w:tc>
          <w:tcPr>
            <w:tcW w:type="dxa" w:w="1234"/>
          </w:tcPr>
          <w:p>
            <w:r>
              <w:t>-0.949</w:t>
            </w:r>
          </w:p>
        </w:tc>
      </w:tr>
      <w:tr>
        <w:tc>
          <w:tcPr>
            <w:tcW w:type="dxa" w:w="1234"/>
          </w:tcPr>
          <w:p>
            <w:r>
              <w:t>Attn-LSTM</w:t>
            </w:r>
          </w:p>
        </w:tc>
        <w:tc>
          <w:tcPr>
            <w:tcW w:type="dxa" w:w="1234"/>
          </w:tcPr>
          <w:p>
            <w:r>
              <w:t>14.176</w:t>
            </w:r>
          </w:p>
        </w:tc>
        <w:tc>
          <w:tcPr>
            <w:tcW w:type="dxa" w:w="1234"/>
          </w:tcPr>
          <w:p>
            <w:r>
              <w:t>41.046</w:t>
            </w:r>
          </w:p>
        </w:tc>
        <w:tc>
          <w:tcPr>
            <w:tcW w:type="dxa" w:w="1234"/>
          </w:tcPr>
          <w:p>
            <w:r>
              <w:t>20.254</w:t>
            </w:r>
          </w:p>
        </w:tc>
        <w:tc>
          <w:tcPr>
            <w:tcW w:type="dxa" w:w="1234"/>
          </w:tcPr>
          <w:p>
            <w:r>
              <w:t>8.58</w:t>
            </w:r>
          </w:p>
        </w:tc>
        <w:tc>
          <w:tcPr>
            <w:tcW w:type="dxa" w:w="1234"/>
          </w:tcPr>
          <w:p>
            <w:r>
              <w:t>0.97</w:t>
            </w:r>
          </w:p>
        </w:tc>
        <w:tc>
          <w:tcPr>
            <w:tcW w:type="dxa" w:w="1234"/>
          </w:tcPr>
          <w:p>
            <w:r>
              <w:t>-0.641</w:t>
            </w:r>
          </w:p>
        </w:tc>
      </w:tr>
      <w:tr>
        <w:tc>
          <w:tcPr>
            <w:tcW w:type="dxa" w:w="1234"/>
          </w:tcPr>
          <w:p>
            <w:r>
              <w:t>TFT</w:t>
            </w:r>
          </w:p>
        </w:tc>
        <w:tc>
          <w:tcPr>
            <w:tcW w:type="dxa" w:w="1234"/>
          </w:tcPr>
          <w:p>
            <w:r>
              <w:t>15.212</w:t>
            </w:r>
          </w:p>
        </w:tc>
        <w:tc>
          <w:tcPr>
            <w:tcW w:type="dxa" w:w="1234"/>
          </w:tcPr>
          <w:p>
            <w:r>
              <w:t>42.931</w:t>
            </w:r>
          </w:p>
        </w:tc>
        <w:tc>
          <w:tcPr>
            <w:tcW w:type="dxa" w:w="1234"/>
          </w:tcPr>
          <w:p>
            <w:r>
              <w:t>21.184</w:t>
            </w:r>
          </w:p>
        </w:tc>
        <w:tc>
          <w:tcPr>
            <w:tcW w:type="dxa" w:w="1234"/>
          </w:tcPr>
          <w:p>
            <w:r>
              <w:t>8.793</w:t>
            </w:r>
          </w:p>
        </w:tc>
        <w:tc>
          <w:tcPr>
            <w:tcW w:type="dxa" w:w="1234"/>
          </w:tcPr>
          <w:p>
            <w:r>
              <w:t>0.967</w:t>
            </w:r>
          </w:p>
        </w:tc>
        <w:tc>
          <w:tcPr>
            <w:tcW w:type="dxa" w:w="1234"/>
          </w:tcPr>
          <w:p>
            <w:r>
              <w:t>-0.947</w:t>
            </w:r>
          </w:p>
        </w:tc>
      </w:tr>
      <w:tr>
        <w:tc>
          <w:tcPr>
            <w:tcW w:type="dxa" w:w="1234"/>
          </w:tcPr>
          <w:p>
            <w:r>
              <w:t>GRU</w:t>
            </w:r>
          </w:p>
        </w:tc>
        <w:tc>
          <w:tcPr>
            <w:tcW w:type="dxa" w:w="1234"/>
          </w:tcPr>
          <w:p>
            <w:r>
              <w:t>15.637</w:t>
            </w:r>
          </w:p>
        </w:tc>
        <w:tc>
          <w:tcPr>
            <w:tcW w:type="dxa" w:w="1234"/>
          </w:tcPr>
          <w:p>
            <w:r>
              <w:t>43.153</w:t>
            </w:r>
          </w:p>
        </w:tc>
        <w:tc>
          <w:tcPr>
            <w:tcW w:type="dxa" w:w="1234"/>
          </w:tcPr>
          <w:p>
            <w:r>
              <w:t>21.294</w:t>
            </w:r>
          </w:p>
        </w:tc>
        <w:tc>
          <w:tcPr>
            <w:tcW w:type="dxa" w:w="1234"/>
          </w:tcPr>
          <w:p>
            <w:r>
              <w:t>9.281</w:t>
            </w:r>
          </w:p>
        </w:tc>
        <w:tc>
          <w:tcPr>
            <w:tcW w:type="dxa" w:w="1234"/>
          </w:tcPr>
          <w:p>
            <w:r>
              <w:t>0.966</w:t>
            </w:r>
          </w:p>
        </w:tc>
        <w:tc>
          <w:tcPr>
            <w:tcW w:type="dxa" w:w="1234"/>
          </w:tcPr>
          <w:p>
            <w:r>
              <w:t>-1.768</w:t>
            </w:r>
          </w:p>
        </w:tc>
      </w:tr>
      <w:tr>
        <w:tc>
          <w:tcPr>
            <w:tcW w:type="dxa" w:w="1234"/>
          </w:tcPr>
          <w:p>
            <w:r>
              <w:t>TCN</w:t>
            </w:r>
          </w:p>
        </w:tc>
        <w:tc>
          <w:tcPr>
            <w:tcW w:type="dxa" w:w="1234"/>
          </w:tcPr>
          <w:p>
            <w:r>
              <w:t>17.238</w:t>
            </w:r>
          </w:p>
        </w:tc>
        <w:tc>
          <w:tcPr>
            <w:tcW w:type="dxa" w:w="1234"/>
          </w:tcPr>
          <w:p>
            <w:r>
              <w:t>43.711</w:t>
            </w:r>
          </w:p>
        </w:tc>
        <w:tc>
          <w:tcPr>
            <w:tcW w:type="dxa" w:w="1234"/>
          </w:tcPr>
          <w:p>
            <w:r>
              <w:t>21.569</w:t>
            </w:r>
          </w:p>
        </w:tc>
        <w:tc>
          <w:tcPr>
            <w:tcW w:type="dxa" w:w="1234"/>
          </w:tcPr>
          <w:p>
            <w:r>
              <w:t>10.421</w:t>
            </w:r>
          </w:p>
        </w:tc>
        <w:tc>
          <w:tcPr>
            <w:tcW w:type="dxa" w:w="1234"/>
          </w:tcPr>
          <w:p>
            <w:r>
              <w:t>0.965</w:t>
            </w:r>
          </w:p>
        </w:tc>
        <w:tc>
          <w:tcPr>
            <w:tcW w:type="dxa" w:w="1234"/>
          </w:tcPr>
          <w:p>
            <w:r>
              <w:t>0.154</w:t>
            </w:r>
          </w:p>
        </w:tc>
      </w:tr>
      <w:tr>
        <w:tc>
          <w:tcPr>
            <w:tcW w:type="dxa" w:w="1234"/>
          </w:tcPr>
          <w:p>
            <w:r>
              <w:t>CNN-LSTM</w:t>
            </w:r>
          </w:p>
        </w:tc>
        <w:tc>
          <w:tcPr>
            <w:tcW w:type="dxa" w:w="1234"/>
          </w:tcPr>
          <w:p>
            <w:r>
              <w:t>16.103</w:t>
            </w:r>
          </w:p>
        </w:tc>
        <w:tc>
          <w:tcPr>
            <w:tcW w:type="dxa" w:w="1234"/>
          </w:tcPr>
          <w:p>
            <w:r>
              <w:t>43.882</w:t>
            </w:r>
          </w:p>
        </w:tc>
        <w:tc>
          <w:tcPr>
            <w:tcW w:type="dxa" w:w="1234"/>
          </w:tcPr>
          <w:p>
            <w:r>
              <w:t>21.653</w:t>
            </w:r>
          </w:p>
        </w:tc>
        <w:tc>
          <w:tcPr>
            <w:tcW w:type="dxa" w:w="1234"/>
          </w:tcPr>
          <w:p>
            <w:r>
              <w:t>9.636</w:t>
            </w:r>
          </w:p>
        </w:tc>
        <w:tc>
          <w:tcPr>
            <w:tcW w:type="dxa" w:w="1234"/>
          </w:tcPr>
          <w:p>
            <w:r>
              <w:t>0.965</w:t>
            </w:r>
          </w:p>
        </w:tc>
        <w:tc>
          <w:tcPr>
            <w:tcW w:type="dxa" w:w="1234"/>
          </w:tcPr>
          <w:p>
            <w:r>
              <w:t>-1.111</w:t>
            </w:r>
          </w:p>
        </w:tc>
      </w:tr>
      <w:tr>
        <w:tc>
          <w:tcPr>
            <w:tcW w:type="dxa" w:w="1234"/>
          </w:tcPr>
          <w:p>
            <w:r>
              <w:t>LSTM</w:t>
            </w:r>
          </w:p>
        </w:tc>
        <w:tc>
          <w:tcPr>
            <w:tcW w:type="dxa" w:w="1234"/>
          </w:tcPr>
          <w:p>
            <w:r>
              <w:t>17.992</w:t>
            </w:r>
          </w:p>
        </w:tc>
        <w:tc>
          <w:tcPr>
            <w:tcW w:type="dxa" w:w="1234"/>
          </w:tcPr>
          <w:p>
            <w:r>
              <w:t>48.937</w:t>
            </w:r>
          </w:p>
        </w:tc>
        <w:tc>
          <w:tcPr>
            <w:tcW w:type="dxa" w:w="1234"/>
          </w:tcPr>
          <w:p>
            <w:r>
              <w:t>24.148</w:t>
            </w:r>
          </w:p>
        </w:tc>
        <w:tc>
          <w:tcPr>
            <w:tcW w:type="dxa" w:w="1234"/>
          </w:tcPr>
          <w:p>
            <w:r>
              <w:t>10.114</w:t>
            </w:r>
          </w:p>
        </w:tc>
        <w:tc>
          <w:tcPr>
            <w:tcW w:type="dxa" w:w="1234"/>
          </w:tcPr>
          <w:p>
            <w:r>
              <w:t>0.957</w:t>
            </w:r>
          </w:p>
        </w:tc>
        <w:tc>
          <w:tcPr>
            <w:tcW w:type="dxa" w:w="1234"/>
          </w:tcPr>
          <w:p>
            <w:r>
              <w:t>-2.164</w:t>
            </w:r>
          </w:p>
        </w:tc>
      </w:tr>
      <w:tr>
        <w:tc>
          <w:tcPr>
            <w:tcW w:type="dxa" w:w="1234"/>
          </w:tcPr>
          <w:p>
            <w:r>
              <w:t>Seasonal-naive</w:t>
            </w:r>
          </w:p>
        </w:tc>
        <w:tc>
          <w:tcPr>
            <w:tcW w:type="dxa" w:w="1234"/>
          </w:tcPr>
          <w:p>
            <w:r>
              <w:t>19.854</w:t>
            </w:r>
          </w:p>
        </w:tc>
        <w:tc>
          <w:tcPr>
            <w:tcW w:type="dxa" w:w="1234"/>
          </w:tcPr>
          <w:p>
            <w:r>
              <w:t>52.195</w:t>
            </w:r>
          </w:p>
        </w:tc>
        <w:tc>
          <w:tcPr>
            <w:tcW w:type="dxa" w:w="1234"/>
          </w:tcPr>
          <w:p>
            <w:r>
              <w:t>25.755</w:t>
            </w:r>
          </w:p>
        </w:tc>
        <w:tc>
          <w:tcPr>
            <w:tcW w:type="dxa" w:w="1234"/>
          </w:tcPr>
          <w:p>
            <w:r>
              <w:t>12.809</w:t>
            </w:r>
          </w:p>
        </w:tc>
        <w:tc>
          <w:tcPr>
            <w:tcW w:type="dxa" w:w="1234"/>
          </w:tcPr>
          <w:p>
            <w:r>
              <w:t>0.951</w:t>
            </w:r>
          </w:p>
        </w:tc>
        <w:tc>
          <w:tcPr>
            <w:tcW w:type="dxa" w:w="1234"/>
          </w:tcPr>
          <w:p>
            <w:r>
              <w:t>-0.059</w:t>
            </w:r>
          </w:p>
        </w:tc>
      </w:tr>
      <w:tr>
        <w:tc>
          <w:tcPr>
            <w:tcW w:type="dxa" w:w="1234"/>
          </w:tcPr>
          <w:p>
            <w:r>
              <w:t>Ridge</w:t>
            </w:r>
          </w:p>
        </w:tc>
        <w:tc>
          <w:tcPr>
            <w:tcW w:type="dxa" w:w="1234"/>
          </w:tcPr>
          <w:p>
            <w:r>
              <w:t>21.097</w:t>
            </w:r>
          </w:p>
        </w:tc>
        <w:tc>
          <w:tcPr>
            <w:tcW w:type="dxa" w:w="1234"/>
          </w:tcPr>
          <w:p>
            <w:r>
              <w:t>52.683</w:t>
            </w:r>
          </w:p>
        </w:tc>
        <w:tc>
          <w:tcPr>
            <w:tcW w:type="dxa" w:w="1234"/>
          </w:tcPr>
          <w:p>
            <w:r>
              <w:t>25.996</w:t>
            </w:r>
          </w:p>
        </w:tc>
        <w:tc>
          <w:tcPr>
            <w:tcW w:type="dxa" w:w="1234"/>
          </w:tcPr>
          <w:p>
            <w:r>
              <w:t>13.076</w:t>
            </w:r>
          </w:p>
        </w:tc>
        <w:tc>
          <w:tcPr>
            <w:tcW w:type="dxa" w:w="1234"/>
          </w:tcPr>
          <w:p>
            <w:r>
              <w:t>0.95</w:t>
            </w:r>
          </w:p>
        </w:tc>
        <w:tc>
          <w:tcPr>
            <w:tcW w:type="dxa" w:w="1234"/>
          </w:tcPr>
          <w:p>
            <w:r>
              <w:t>-4.508</w:t>
            </w:r>
          </w:p>
        </w:tc>
      </w:tr>
      <w:tr>
        <w:tc>
          <w:tcPr>
            <w:tcW w:type="dxa" w:w="1234"/>
          </w:tcPr>
          <w:p>
            <w:r>
              <w:t>Persistence</w:t>
            </w:r>
          </w:p>
        </w:tc>
        <w:tc>
          <w:tcPr>
            <w:tcW w:type="dxa" w:w="1234"/>
          </w:tcPr>
          <w:p>
            <w:r>
              <w:t>35.876</w:t>
            </w:r>
          </w:p>
        </w:tc>
        <w:tc>
          <w:tcPr>
            <w:tcW w:type="dxa" w:w="1234"/>
          </w:tcPr>
          <w:p>
            <w:r>
              <w:t>78.657</w:t>
            </w:r>
          </w:p>
        </w:tc>
        <w:tc>
          <w:tcPr>
            <w:tcW w:type="dxa" w:w="1234"/>
          </w:tcPr>
          <w:p>
            <w:r>
              <w:t>38.813</w:t>
            </w:r>
          </w:p>
        </w:tc>
        <w:tc>
          <w:tcPr>
            <w:tcW w:type="dxa" w:w="1234"/>
          </w:tcPr>
          <w:p>
            <w:r>
              <w:t>24.137</w:t>
            </w:r>
          </w:p>
        </w:tc>
        <w:tc>
          <w:tcPr>
            <w:tcW w:type="dxa" w:w="1234"/>
          </w:tcPr>
          <w:p>
            <w:r>
              <w:t>0.888</w:t>
            </w:r>
          </w:p>
        </w:tc>
        <w:tc>
          <w:tcPr>
            <w:tcW w:type="dxa" w:w="1234"/>
          </w:tcPr>
          <w:p>
            <w:r>
              <w:t>-20.233</w:t>
            </w:r>
          </w:p>
        </w:tc>
      </w:tr>
    </w:tbl>
    <w:p>
      <w:pPr>
        <w:jc w:val="center"/>
      </w:pPr>
      <w:r>
        <w:rPr>
          <w:i/>
          <w:sz w:val="18"/>
        </w:rPr>
        <w:t>Table 1. Test-set metrics, sorted by RMSE. Best: LightGBM (CV-RMSE 19.73%, R2 0.971). MAPE omitted (unstable for near-zero loads); CV-RMSE follows ASHRAE Guideline 14.</w:t>
      </w:r>
    </w:p>
    <w:p>
      <w:pPr>
        <w:jc w:val="center"/>
      </w:pPr>
      <w:r>
        <w:drawing>
          <wp:inline xmlns:a="http://schemas.openxmlformats.org/drawingml/2006/main" xmlns:pic="http://schemas.openxmlformats.org/drawingml/2006/picture">
            <wp:extent cx="5486400" cy="1901757"/>
            <wp:docPr id="2" name="Picture 2"/>
            <wp:cNvGraphicFramePr>
              <a:graphicFrameLocks noChangeAspect="1"/>
            </wp:cNvGraphicFramePr>
            <a:graphic>
              <a:graphicData uri="http://schemas.openxmlformats.org/drawingml/2006/picture">
                <pic:pic>
                  <pic:nvPicPr>
                    <pic:cNvPr id="0" name="eval_01_comparison.png"/>
                    <pic:cNvPicPr/>
                  </pic:nvPicPr>
                  <pic:blipFill>
                    <a:blip r:embed="rId10"/>
                    <a:stretch>
                      <a:fillRect/>
                    </a:stretch>
                  </pic:blipFill>
                  <pic:spPr>
                    <a:xfrm>
                      <a:off x="0" y="0"/>
                      <a:ext cx="5486400" cy="1901757"/>
                    </a:xfrm>
                    <a:prstGeom prst="rect"/>
                  </pic:spPr>
                </pic:pic>
              </a:graphicData>
            </a:graphic>
          </wp:inline>
        </w:drawing>
      </w:r>
    </w:p>
    <w:p>
      <w:pPr>
        <w:jc w:val="center"/>
      </w:pPr>
      <w:r>
        <w:rPr>
          <w:i/>
          <w:sz w:val="18"/>
        </w:rPr>
        <w:t>Figure 2. RMSE, MAE and CV-RMSE across models.</w:t>
      </w:r>
    </w:p>
    <w:p>
      <w:pPr>
        <w:pStyle w:val="Heading2"/>
      </w:pPr>
      <w:r>
        <w:t>5.2 Error vs forecast horizon</w:t>
      </w:r>
    </w:p>
    <w:p>
      <w:pPr>
        <w:jc w:val="center"/>
      </w:pPr>
      <w:r>
        <w:drawing>
          <wp:inline xmlns:a="http://schemas.openxmlformats.org/drawingml/2006/main" xmlns:pic="http://schemas.openxmlformats.org/drawingml/2006/picture">
            <wp:extent cx="5486400" cy="3703616"/>
            <wp:docPr id="3" name="Picture 3"/>
            <wp:cNvGraphicFramePr>
              <a:graphicFrameLocks noChangeAspect="1"/>
            </wp:cNvGraphicFramePr>
            <a:graphic>
              <a:graphicData uri="http://schemas.openxmlformats.org/drawingml/2006/picture">
                <pic:pic>
                  <pic:nvPicPr>
                    <pic:cNvPr id="0" name="eval_02_per_horizon.png"/>
                    <pic:cNvPicPr/>
                  </pic:nvPicPr>
                  <pic:blipFill>
                    <a:blip r:embed="rId11"/>
                    <a:stretch>
                      <a:fillRect/>
                    </a:stretch>
                  </pic:blipFill>
                  <pic:spPr>
                    <a:xfrm>
                      <a:off x="0" y="0"/>
                      <a:ext cx="5486400" cy="3703616"/>
                    </a:xfrm>
                    <a:prstGeom prst="rect"/>
                  </pic:spPr>
                </pic:pic>
              </a:graphicData>
            </a:graphic>
          </wp:inline>
        </w:drawing>
      </w:r>
    </w:p>
    <w:p>
      <w:pPr>
        <w:jc w:val="center"/>
      </w:pPr>
      <w:r>
        <w:rPr>
          <w:i/>
          <w:sz w:val="18"/>
        </w:rPr>
        <w:t>Figure 3. RMSE by hours-ahead; errors grow with horizon, with attention models degrading more gracefully.</w:t>
      </w:r>
    </w:p>
    <w:p>
      <w:pPr>
        <w:pStyle w:val="Heading2"/>
      </w:pPr>
      <w:r>
        <w:t>5.3 Performance by building type</w:t>
      </w:r>
    </w:p>
    <w:p>
      <w:pPr>
        <w:jc w:val="center"/>
      </w:pPr>
      <w:r>
        <w:drawing>
          <wp:inline xmlns:a="http://schemas.openxmlformats.org/drawingml/2006/main" xmlns:pic="http://schemas.openxmlformats.org/drawingml/2006/picture">
            <wp:extent cx="5486400" cy="3430402"/>
            <wp:docPr id="4" name="Picture 4"/>
            <wp:cNvGraphicFramePr>
              <a:graphicFrameLocks noChangeAspect="1"/>
            </wp:cNvGraphicFramePr>
            <a:graphic>
              <a:graphicData uri="http://schemas.openxmlformats.org/drawingml/2006/picture">
                <pic:pic>
                  <pic:nvPicPr>
                    <pic:cNvPr id="0" name="eval_03_per_type_heatmap.png"/>
                    <pic:cNvPicPr/>
                  </pic:nvPicPr>
                  <pic:blipFill>
                    <a:blip r:embed="rId12"/>
                    <a:stretch>
                      <a:fillRect/>
                    </a:stretch>
                  </pic:blipFill>
                  <pic:spPr>
                    <a:xfrm>
                      <a:off x="0" y="0"/>
                      <a:ext cx="5486400" cy="3430402"/>
                    </a:xfrm>
                    <a:prstGeom prst="rect"/>
                  </pic:spPr>
                </pic:pic>
              </a:graphicData>
            </a:graphic>
          </wp:inline>
        </w:drawing>
      </w:r>
    </w:p>
    <w:p>
      <w:pPr>
        <w:jc w:val="center"/>
      </w:pPr>
      <w:r>
        <w:rPr>
          <w:i/>
          <w:sz w:val="18"/>
        </w:rPr>
        <w:t>Figure 4. CV-RMSE by model and primary use.</w:t>
      </w:r>
    </w:p>
    <w:p>
      <w:pPr>
        <w:pStyle w:val="Heading2"/>
      </w:pPr>
      <w:r>
        <w:t>5.4 Skill scores and significance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RMSE_skill_%</w:t>
            </w:r>
          </w:p>
        </w:tc>
        <w:tc>
          <w:tcPr>
            <w:tcW w:type="dxa" w:w="2880"/>
          </w:tcPr>
          <w:p>
            <w:r>
              <w:rPr>
                <w:b/>
              </w:rPr>
              <w:t>MAE_skill_%</w:t>
            </w:r>
          </w:p>
        </w:tc>
      </w:tr>
      <w:tr>
        <w:tc>
          <w:tcPr>
            <w:tcW w:type="dxa" w:w="2880"/>
          </w:tcPr>
          <w:p>
            <w:r>
              <w:t>Persistence</w:t>
            </w:r>
          </w:p>
        </w:tc>
        <w:tc>
          <w:tcPr>
            <w:tcW w:type="dxa" w:w="2880"/>
          </w:tcPr>
          <w:p>
            <w:r>
              <w:t>-50.7</w:t>
            </w:r>
          </w:p>
        </w:tc>
        <w:tc>
          <w:tcPr>
            <w:tcW w:type="dxa" w:w="2880"/>
          </w:tcPr>
          <w:p>
            <w:r>
              <w:t>-80.7</w:t>
            </w:r>
          </w:p>
        </w:tc>
      </w:tr>
      <w:tr>
        <w:tc>
          <w:tcPr>
            <w:tcW w:type="dxa" w:w="2880"/>
          </w:tcPr>
          <w:p>
            <w:r>
              <w:t>Seasonal-naive</w:t>
            </w:r>
          </w:p>
        </w:tc>
        <w:tc>
          <w:tcPr>
            <w:tcW w:type="dxa" w:w="2880"/>
          </w:tcPr>
          <w:p>
            <w:r>
              <w:t>0</w:t>
            </w:r>
          </w:p>
        </w:tc>
        <w:tc>
          <w:tcPr>
            <w:tcW w:type="dxa" w:w="2880"/>
          </w:tcPr>
          <w:p>
            <w:r>
              <w:t>0</w:t>
            </w:r>
          </w:p>
        </w:tc>
      </w:tr>
      <w:tr>
        <w:tc>
          <w:tcPr>
            <w:tcW w:type="dxa" w:w="2880"/>
          </w:tcPr>
          <w:p>
            <w:r>
              <w:t>Ridge</w:t>
            </w:r>
          </w:p>
        </w:tc>
        <w:tc>
          <w:tcPr>
            <w:tcW w:type="dxa" w:w="2880"/>
          </w:tcPr>
          <w:p>
            <w:r>
              <w:t>-0.93</w:t>
            </w:r>
          </w:p>
        </w:tc>
        <w:tc>
          <w:tcPr>
            <w:tcW w:type="dxa" w:w="2880"/>
          </w:tcPr>
          <w:p>
            <w:r>
              <w:t>-6.26</w:t>
            </w:r>
          </w:p>
        </w:tc>
      </w:tr>
      <w:tr>
        <w:tc>
          <w:tcPr>
            <w:tcW w:type="dxa" w:w="2880"/>
          </w:tcPr>
          <w:p>
            <w:r>
              <w:t>LightGBM</w:t>
            </w:r>
          </w:p>
        </w:tc>
        <w:tc>
          <w:tcPr>
            <w:tcW w:type="dxa" w:w="2880"/>
          </w:tcPr>
          <w:p>
            <w:r>
              <w:t>23.38</w:t>
            </w:r>
          </w:p>
        </w:tc>
        <w:tc>
          <w:tcPr>
            <w:tcW w:type="dxa" w:w="2880"/>
          </w:tcPr>
          <w:p>
            <w:r>
              <w:t>27.64</w:t>
            </w:r>
          </w:p>
        </w:tc>
      </w:tr>
      <w:tr>
        <w:tc>
          <w:tcPr>
            <w:tcW w:type="dxa" w:w="2880"/>
          </w:tcPr>
          <w:p>
            <w:r>
              <w:t>LSTM</w:t>
            </w:r>
          </w:p>
        </w:tc>
        <w:tc>
          <w:tcPr>
            <w:tcW w:type="dxa" w:w="2880"/>
          </w:tcPr>
          <w:p>
            <w:r>
              <w:t>6.24</w:t>
            </w:r>
          </w:p>
        </w:tc>
        <w:tc>
          <w:tcPr>
            <w:tcW w:type="dxa" w:w="2880"/>
          </w:tcPr>
          <w:p>
            <w:r>
              <w:t>9.38</w:t>
            </w:r>
          </w:p>
        </w:tc>
      </w:tr>
      <w:tr>
        <w:tc>
          <w:tcPr>
            <w:tcW w:type="dxa" w:w="2880"/>
          </w:tcPr>
          <w:p>
            <w:r>
              <w:t>GRU</w:t>
            </w:r>
          </w:p>
        </w:tc>
        <w:tc>
          <w:tcPr>
            <w:tcW w:type="dxa" w:w="2880"/>
          </w:tcPr>
          <w:p>
            <w:r>
              <w:t>17.32</w:t>
            </w:r>
          </w:p>
        </w:tc>
        <w:tc>
          <w:tcPr>
            <w:tcW w:type="dxa" w:w="2880"/>
          </w:tcPr>
          <w:p>
            <w:r>
              <w:t>21.24</w:t>
            </w:r>
          </w:p>
        </w:tc>
      </w:tr>
      <w:tr>
        <w:tc>
          <w:tcPr>
            <w:tcW w:type="dxa" w:w="2880"/>
          </w:tcPr>
          <w:p>
            <w:r>
              <w:t>TCN</w:t>
            </w:r>
          </w:p>
        </w:tc>
        <w:tc>
          <w:tcPr>
            <w:tcW w:type="dxa" w:w="2880"/>
          </w:tcPr>
          <w:p>
            <w:r>
              <w:t>16.25</w:t>
            </w:r>
          </w:p>
        </w:tc>
        <w:tc>
          <w:tcPr>
            <w:tcW w:type="dxa" w:w="2880"/>
          </w:tcPr>
          <w:p>
            <w:r>
              <w:t>13.18</w:t>
            </w:r>
          </w:p>
        </w:tc>
      </w:tr>
      <w:tr>
        <w:tc>
          <w:tcPr>
            <w:tcW w:type="dxa" w:w="2880"/>
          </w:tcPr>
          <w:p>
            <w:r>
              <w:t>CNN-LSTM</w:t>
            </w:r>
          </w:p>
        </w:tc>
        <w:tc>
          <w:tcPr>
            <w:tcW w:type="dxa" w:w="2880"/>
          </w:tcPr>
          <w:p>
            <w:r>
              <w:t>15.93</w:t>
            </w:r>
          </w:p>
        </w:tc>
        <w:tc>
          <w:tcPr>
            <w:tcW w:type="dxa" w:w="2880"/>
          </w:tcPr>
          <w:p>
            <w:r>
              <w:t>18.89</w:t>
            </w:r>
          </w:p>
        </w:tc>
      </w:tr>
      <w:tr>
        <w:tc>
          <w:tcPr>
            <w:tcW w:type="dxa" w:w="2880"/>
          </w:tcPr>
          <w:p>
            <w:r>
              <w:t>Transformer</w:t>
            </w:r>
          </w:p>
        </w:tc>
        <w:tc>
          <w:tcPr>
            <w:tcW w:type="dxa" w:w="2880"/>
          </w:tcPr>
          <w:p>
            <w:r>
              <w:t>23.19</w:t>
            </w:r>
          </w:p>
        </w:tc>
        <w:tc>
          <w:tcPr>
            <w:tcW w:type="dxa" w:w="2880"/>
          </w:tcPr>
          <w:p>
            <w:r>
              <w:t>30.45</w:t>
            </w:r>
          </w:p>
        </w:tc>
      </w:tr>
      <w:tr>
        <w:tc>
          <w:tcPr>
            <w:tcW w:type="dxa" w:w="2880"/>
          </w:tcPr>
          <w:p>
            <w:r>
              <w:t>Attn-LSTM</w:t>
            </w:r>
          </w:p>
        </w:tc>
        <w:tc>
          <w:tcPr>
            <w:tcW w:type="dxa" w:w="2880"/>
          </w:tcPr>
          <w:p>
            <w:r>
              <w:t>21.36</w:t>
            </w:r>
          </w:p>
        </w:tc>
        <w:tc>
          <w:tcPr>
            <w:tcW w:type="dxa" w:w="2880"/>
          </w:tcPr>
          <w:p>
            <w:r>
              <w:t>28.6</w:t>
            </w:r>
          </w:p>
        </w:tc>
      </w:tr>
      <w:tr>
        <w:tc>
          <w:tcPr>
            <w:tcW w:type="dxa" w:w="2880"/>
          </w:tcPr>
          <w:p>
            <w:r>
              <w:t>TFT</w:t>
            </w:r>
          </w:p>
        </w:tc>
        <w:tc>
          <w:tcPr>
            <w:tcW w:type="dxa" w:w="2880"/>
          </w:tcPr>
          <w:p>
            <w:r>
              <w:t>17.75</w:t>
            </w:r>
          </w:p>
        </w:tc>
        <w:tc>
          <w:tcPr>
            <w:tcW w:type="dxa" w:w="2880"/>
          </w:tcPr>
          <w:p>
            <w:r>
              <w:t>23.38</w:t>
            </w:r>
          </w:p>
        </w:tc>
      </w:tr>
    </w:tbl>
    <w:p>
      <w:pPr>
        <w:jc w:val="center"/>
      </w:pPr>
      <w:r>
        <w:rPr>
          <w:i/>
          <w:sz w:val="18"/>
        </w:rPr>
        <w:t>Table 2. Skill vs seasonal-naive (higher is better).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vs_best(LightGBM)</w:t>
            </w:r>
          </w:p>
        </w:tc>
        <w:tc>
          <w:tcPr>
            <w:tcW w:type="dxa" w:w="2160"/>
          </w:tcPr>
          <w:p>
            <w:r>
              <w:rPr>
                <w:b/>
              </w:rPr>
              <w:t>wilcoxon_p</w:t>
            </w:r>
          </w:p>
        </w:tc>
        <w:tc>
          <w:tcPr>
            <w:tcW w:type="dxa" w:w="2160"/>
          </w:tcPr>
          <w:p>
            <w:r>
              <w:rPr>
                <w:b/>
              </w:rPr>
              <w:t>DM_stat</w:t>
            </w:r>
          </w:p>
        </w:tc>
        <w:tc>
          <w:tcPr>
            <w:tcW w:type="dxa" w:w="2160"/>
          </w:tcPr>
          <w:p>
            <w:r>
              <w:rPr>
                <w:b/>
              </w:rPr>
              <w:t>DM_p</w:t>
            </w:r>
          </w:p>
        </w:tc>
      </w:tr>
      <w:tr>
        <w:tc>
          <w:tcPr>
            <w:tcW w:type="dxa" w:w="2160"/>
          </w:tcPr>
          <w:p>
            <w:r>
              <w:t>Persistence</w:t>
            </w:r>
          </w:p>
        </w:tc>
        <w:tc>
          <w:tcPr>
            <w:tcW w:type="dxa" w:w="2160"/>
          </w:tcPr>
          <w:p>
            <w:r>
              <w:t>4.52898e-158</w:t>
            </w:r>
          </w:p>
        </w:tc>
        <w:tc>
          <w:tcPr>
            <w:tcW w:type="dxa" w:w="2160"/>
          </w:tcPr>
          <w:p>
            <w:r>
              <w:t>-17.041</w:t>
            </w:r>
          </w:p>
        </w:tc>
        <w:tc>
          <w:tcPr>
            <w:tcW w:type="dxa" w:w="2160"/>
          </w:tcPr>
          <w:p>
            <w:r>
              <w:t>0</w:t>
            </w:r>
          </w:p>
        </w:tc>
      </w:tr>
      <w:tr>
        <w:tc>
          <w:tcPr>
            <w:tcW w:type="dxa" w:w="2160"/>
          </w:tcPr>
          <w:p>
            <w:r>
              <w:t>Seasonal-naive</w:t>
            </w:r>
          </w:p>
        </w:tc>
        <w:tc>
          <w:tcPr>
            <w:tcW w:type="dxa" w:w="2160"/>
          </w:tcPr>
          <w:p>
            <w:r>
              <w:t>1.76652e-55</w:t>
            </w:r>
          </w:p>
        </w:tc>
        <w:tc>
          <w:tcPr>
            <w:tcW w:type="dxa" w:w="2160"/>
          </w:tcPr>
          <w:p>
            <w:r>
              <w:t>-8.877</w:t>
            </w:r>
          </w:p>
        </w:tc>
        <w:tc>
          <w:tcPr>
            <w:tcW w:type="dxa" w:w="2160"/>
          </w:tcPr>
          <w:p>
            <w:r>
              <w:t>0</w:t>
            </w:r>
          </w:p>
        </w:tc>
      </w:tr>
      <w:tr>
        <w:tc>
          <w:tcPr>
            <w:tcW w:type="dxa" w:w="2160"/>
          </w:tcPr>
          <w:p>
            <w:r>
              <w:t>Ridge</w:t>
            </w:r>
          </w:p>
        </w:tc>
        <w:tc>
          <w:tcPr>
            <w:tcW w:type="dxa" w:w="2160"/>
          </w:tcPr>
          <w:p>
            <w:r>
              <w:t>6.71783e-145</w:t>
            </w:r>
          </w:p>
        </w:tc>
        <w:tc>
          <w:tcPr>
            <w:tcW w:type="dxa" w:w="2160"/>
          </w:tcPr>
          <w:p>
            <w:r>
              <w:t>-12.181</w:t>
            </w:r>
          </w:p>
        </w:tc>
        <w:tc>
          <w:tcPr>
            <w:tcW w:type="dxa" w:w="2160"/>
          </w:tcPr>
          <w:p>
            <w:r>
              <w:t>0</w:t>
            </w:r>
          </w:p>
        </w:tc>
      </w:tr>
      <w:tr>
        <w:tc>
          <w:tcPr>
            <w:tcW w:type="dxa" w:w="2160"/>
          </w:tcPr>
          <w:p>
            <w:r>
              <w:t>LSTM</w:t>
            </w:r>
          </w:p>
        </w:tc>
        <w:tc>
          <w:tcPr>
            <w:tcW w:type="dxa" w:w="2160"/>
          </w:tcPr>
          <w:p>
            <w:r>
              <w:t>1.44964e-26</w:t>
            </w:r>
          </w:p>
        </w:tc>
        <w:tc>
          <w:tcPr>
            <w:tcW w:type="dxa" w:w="2160"/>
          </w:tcPr>
          <w:p>
            <w:r>
              <w:t>-7.248</w:t>
            </w:r>
          </w:p>
        </w:tc>
        <w:tc>
          <w:tcPr>
            <w:tcW w:type="dxa" w:w="2160"/>
          </w:tcPr>
          <w:p>
            <w:r>
              <w:t>4.23661e-13</w:t>
            </w:r>
          </w:p>
        </w:tc>
      </w:tr>
      <w:tr>
        <w:tc>
          <w:tcPr>
            <w:tcW w:type="dxa" w:w="2160"/>
          </w:tcPr>
          <w:p>
            <w:r>
              <w:t>GRU</w:t>
            </w:r>
          </w:p>
        </w:tc>
        <w:tc>
          <w:tcPr>
            <w:tcW w:type="dxa" w:w="2160"/>
          </w:tcPr>
          <w:p>
            <w:r>
              <w:t>2.29739e-07</w:t>
            </w:r>
          </w:p>
        </w:tc>
        <w:tc>
          <w:tcPr>
            <w:tcW w:type="dxa" w:w="2160"/>
          </w:tcPr>
          <w:p>
            <w:r>
              <w:t>-3.74</w:t>
            </w:r>
          </w:p>
        </w:tc>
        <w:tc>
          <w:tcPr>
            <w:tcW w:type="dxa" w:w="2160"/>
          </w:tcPr>
          <w:p>
            <w:r>
              <w:t>0.00018383</w:t>
            </w:r>
          </w:p>
        </w:tc>
      </w:tr>
      <w:tr>
        <w:tc>
          <w:tcPr>
            <w:tcW w:type="dxa" w:w="2160"/>
          </w:tcPr>
          <w:p>
            <w:r>
              <w:t>TCN</w:t>
            </w:r>
          </w:p>
        </w:tc>
        <w:tc>
          <w:tcPr>
            <w:tcW w:type="dxa" w:w="2160"/>
          </w:tcPr>
          <w:p>
            <w:r>
              <w:t>5.39149e-55</w:t>
            </w:r>
          </w:p>
        </w:tc>
        <w:tc>
          <w:tcPr>
            <w:tcW w:type="dxa" w:w="2160"/>
          </w:tcPr>
          <w:p>
            <w:r>
              <w:t>-8.608</w:t>
            </w:r>
          </w:p>
        </w:tc>
        <w:tc>
          <w:tcPr>
            <w:tcW w:type="dxa" w:w="2160"/>
          </w:tcPr>
          <w:p>
            <w:r>
              <w:t>0</w:t>
            </w:r>
          </w:p>
        </w:tc>
      </w:tr>
      <w:tr>
        <w:tc>
          <w:tcPr>
            <w:tcW w:type="dxa" w:w="2160"/>
          </w:tcPr>
          <w:p>
            <w:r>
              <w:t>CNN-LSTM</w:t>
            </w:r>
          </w:p>
        </w:tc>
        <w:tc>
          <w:tcPr>
            <w:tcW w:type="dxa" w:w="2160"/>
          </w:tcPr>
          <w:p>
            <w:r>
              <w:t>7.45056e-18</w:t>
            </w:r>
          </w:p>
        </w:tc>
        <w:tc>
          <w:tcPr>
            <w:tcW w:type="dxa" w:w="2160"/>
          </w:tcPr>
          <w:p>
            <w:r>
              <w:t>-4.693</w:t>
            </w:r>
          </w:p>
        </w:tc>
        <w:tc>
          <w:tcPr>
            <w:tcW w:type="dxa" w:w="2160"/>
          </w:tcPr>
          <w:p>
            <w:r>
              <w:t>2.68759e-06</w:t>
            </w:r>
          </w:p>
        </w:tc>
      </w:tr>
      <w:tr>
        <w:tc>
          <w:tcPr>
            <w:tcW w:type="dxa" w:w="2160"/>
          </w:tcPr>
          <w:p>
            <w:r>
              <w:t>Transformer</w:t>
            </w:r>
          </w:p>
        </w:tc>
        <w:tc>
          <w:tcPr>
            <w:tcW w:type="dxa" w:w="2160"/>
          </w:tcPr>
          <w:p>
            <w:r>
              <w:t>4.10937e-08</w:t>
            </w:r>
          </w:p>
        </w:tc>
        <w:tc>
          <w:tcPr>
            <w:tcW w:type="dxa" w:w="2160"/>
          </w:tcPr>
          <w:p>
            <w:r>
              <w:t>2.786</w:t>
            </w:r>
          </w:p>
        </w:tc>
        <w:tc>
          <w:tcPr>
            <w:tcW w:type="dxa" w:w="2160"/>
          </w:tcPr>
          <w:p>
            <w:r>
              <w:t>0.0053354</w:t>
            </w:r>
          </w:p>
        </w:tc>
      </w:tr>
      <w:tr>
        <w:tc>
          <w:tcPr>
            <w:tcW w:type="dxa" w:w="2160"/>
          </w:tcPr>
          <w:p>
            <w:r>
              <w:t>Attn-LSTM</w:t>
            </w:r>
          </w:p>
        </w:tc>
        <w:tc>
          <w:tcPr>
            <w:tcW w:type="dxa" w:w="2160"/>
          </w:tcPr>
          <w:p>
            <w:r>
              <w:t>0.042759</w:t>
            </w:r>
          </w:p>
        </w:tc>
        <w:tc>
          <w:tcPr>
            <w:tcW w:type="dxa" w:w="2160"/>
          </w:tcPr>
          <w:p>
            <w:r>
              <w:t>0.752</w:t>
            </w:r>
          </w:p>
        </w:tc>
        <w:tc>
          <w:tcPr>
            <w:tcW w:type="dxa" w:w="2160"/>
          </w:tcPr>
          <w:p>
            <w:r>
              <w:t>0.451871</w:t>
            </w:r>
          </w:p>
        </w:tc>
      </w:tr>
      <w:tr>
        <w:tc>
          <w:tcPr>
            <w:tcW w:type="dxa" w:w="2160"/>
          </w:tcPr>
          <w:p>
            <w:r>
              <w:t>TFT</w:t>
            </w:r>
          </w:p>
        </w:tc>
        <w:tc>
          <w:tcPr>
            <w:tcW w:type="dxa" w:w="2160"/>
          </w:tcPr>
          <w:p>
            <w:r>
              <w:t>0.000832725</w:t>
            </w:r>
          </w:p>
        </w:tc>
        <w:tc>
          <w:tcPr>
            <w:tcW w:type="dxa" w:w="2160"/>
          </w:tcPr>
          <w:p>
            <w:r>
              <w:t>-3.387</w:t>
            </w:r>
          </w:p>
        </w:tc>
        <w:tc>
          <w:tcPr>
            <w:tcW w:type="dxa" w:w="2160"/>
          </w:tcPr>
          <w:p>
            <w:r>
              <w:t>0.000705807</w:t>
            </w:r>
          </w:p>
        </w:tc>
      </w:tr>
    </w:tbl>
    <w:p>
      <w:pPr>
        <w:jc w:val="center"/>
      </w:pPr>
      <w:r>
        <w:rPr>
          <w:i/>
          <w:sz w:val="18"/>
        </w:rPr>
        <w:t>Table 3. Significance vs the best model (Wilcoxon / Diebold-Mariano).</w:t>
      </w:r>
    </w:p>
    <w:p>
      <w:pPr>
        <w:jc w:val="center"/>
      </w:pPr>
      <w:r>
        <w:drawing>
          <wp:inline xmlns:a="http://schemas.openxmlformats.org/drawingml/2006/main" xmlns:pic="http://schemas.openxmlformats.org/drawingml/2006/picture">
            <wp:extent cx="5486400" cy="3663051"/>
            <wp:docPr id="5" name="Picture 5"/>
            <wp:cNvGraphicFramePr>
              <a:graphicFrameLocks noChangeAspect="1"/>
            </wp:cNvGraphicFramePr>
            <a:graphic>
              <a:graphicData uri="http://schemas.openxmlformats.org/drawingml/2006/picture">
                <pic:pic>
                  <pic:nvPicPr>
                    <pic:cNvPr id="0" name="eval_04_examples.png"/>
                    <pic:cNvPicPr/>
                  </pic:nvPicPr>
                  <pic:blipFill>
                    <a:blip r:embed="rId13"/>
                    <a:stretch>
                      <a:fillRect/>
                    </a:stretch>
                  </pic:blipFill>
                  <pic:spPr>
                    <a:xfrm>
                      <a:off x="0" y="0"/>
                      <a:ext cx="5486400" cy="3663051"/>
                    </a:xfrm>
                    <a:prstGeom prst="rect"/>
                  </pic:spPr>
                </pic:pic>
              </a:graphicData>
            </a:graphic>
          </wp:inline>
        </w:drawing>
      </w:r>
    </w:p>
    <w:p>
      <w:pPr>
        <w:jc w:val="center"/>
      </w:pPr>
      <w:r>
        <w:rPr>
          <w:i/>
          <w:sz w:val="18"/>
        </w:rPr>
        <w:t>Figure 5. Example day-ahead forecasts.</w:t>
      </w:r>
    </w:p>
    <w:p>
      <w:pPr>
        <w:pStyle w:val="Heading1"/>
      </w:pPr>
      <w:r>
        <w:t>6. Interpretability</w:t>
      </w:r>
    </w:p>
    <w:p>
      <w:pPr>
        <w:pStyle w:val="Heading2"/>
      </w:pPr>
      <w:r>
        <w:t>6.1 Temporal attention</w:t>
      </w:r>
    </w:p>
    <w:p>
      <w:pPr>
        <w:jc w:val="center"/>
      </w:pPr>
      <w:r>
        <w:drawing>
          <wp:inline xmlns:a="http://schemas.openxmlformats.org/drawingml/2006/main" xmlns:pic="http://schemas.openxmlformats.org/drawingml/2006/picture">
            <wp:extent cx="5486400" cy="2760785"/>
            <wp:docPr id="6" name="Picture 6"/>
            <wp:cNvGraphicFramePr>
              <a:graphicFrameLocks noChangeAspect="1"/>
            </wp:cNvGraphicFramePr>
            <a:graphic>
              <a:graphicData uri="http://schemas.openxmlformats.org/drawingml/2006/picture">
                <pic:pic>
                  <pic:nvPicPr>
                    <pic:cNvPr id="0" name="interp_tft_01_attn_vs_lag.png"/>
                    <pic:cNvPicPr/>
                  </pic:nvPicPr>
                  <pic:blipFill>
                    <a:blip r:embed="rId14"/>
                    <a:stretch>
                      <a:fillRect/>
                    </a:stretch>
                  </pic:blipFill>
                  <pic:spPr>
                    <a:xfrm>
                      <a:off x="0" y="0"/>
                      <a:ext cx="5486400" cy="2760785"/>
                    </a:xfrm>
                    <a:prstGeom prst="rect"/>
                  </pic:spPr>
                </pic:pic>
              </a:graphicData>
            </a:graphic>
          </wp:inline>
        </w:drawing>
      </w:r>
    </w:p>
    <w:p>
      <w:pPr>
        <w:jc w:val="center"/>
      </w:pPr>
      <w:r>
        <w:rPr>
          <w:i/>
          <w:sz w:val="18"/>
        </w:rPr>
        <w:t>Figure 6. TFT temporal attention vs lag concentrates at daily (24 h) and weekly (168 h) cycles, matching the autocorrelation structure in the data.</w:t>
      </w:r>
    </w:p>
    <w:p>
      <w:pPr>
        <w:jc w:val="center"/>
      </w:pPr>
      <w:r>
        <w:drawing>
          <wp:inline xmlns:a="http://schemas.openxmlformats.org/drawingml/2006/main" xmlns:pic="http://schemas.openxmlformats.org/drawingml/2006/picture">
            <wp:extent cx="5486400" cy="2480889"/>
            <wp:docPr id="7" name="Picture 7"/>
            <wp:cNvGraphicFramePr>
              <a:graphicFrameLocks noChangeAspect="1"/>
            </wp:cNvGraphicFramePr>
            <a:graphic>
              <a:graphicData uri="http://schemas.openxmlformats.org/drawingml/2006/picture">
                <pic:pic>
                  <pic:nvPicPr>
                    <pic:cNvPr id="0" name="interp_tft_02_heatmap.png"/>
                    <pic:cNvPicPr/>
                  </pic:nvPicPr>
                  <pic:blipFill>
                    <a:blip r:embed="rId15"/>
                    <a:stretch>
                      <a:fillRect/>
                    </a:stretch>
                  </pic:blipFill>
                  <pic:spPr>
                    <a:xfrm>
                      <a:off x="0" y="0"/>
                      <a:ext cx="5486400" cy="2480889"/>
                    </a:xfrm>
                    <a:prstGeom prst="rect"/>
                  </pic:spPr>
                </pic:pic>
              </a:graphicData>
            </a:graphic>
          </wp:inline>
        </w:drawing>
      </w:r>
    </w:p>
    <w:p>
      <w:pPr>
        <w:jc w:val="center"/>
      </w:pPr>
      <w:r>
        <w:rPr>
          <w:i/>
          <w:sz w:val="18"/>
        </w:rPr>
        <w:t>Figure 7. Attention by horizon step and past position.</w:t>
      </w:r>
    </w:p>
    <w:p>
      <w:pPr>
        <w:pStyle w:val="Heading2"/>
      </w:pPr>
      <w:r>
        <w:t>6.2 Variable selection</w:t>
      </w:r>
    </w:p>
    <w:p>
      <w:r>
        <w:t>The TFT variable-selection networks rank inputs by mean selection weight. Top encoder (past) inputs: y_scaled (0.69), hour_cos (0.05), month_cos (0.03), hour_sin (0.03), is_weekend (0.02). Top decoder (future) inputs: hour_cos (0.17), is_weekend (0.14), month_cos (0.13), hour_sin (0.10), is_holiday (0.09). Top static inputs: use_Education (0.14), yearbuilt_missing (0.13), log_sqm_z (0.13), use_Office (0.09), yearbuilt_z (0.08).</w:t>
      </w:r>
    </w:p>
    <w:p>
      <w:pPr>
        <w:jc w:val="center"/>
      </w:pPr>
      <w:r>
        <w:drawing>
          <wp:inline xmlns:a="http://schemas.openxmlformats.org/drawingml/2006/main" xmlns:pic="http://schemas.openxmlformats.org/drawingml/2006/picture">
            <wp:extent cx="5486400" cy="3796062"/>
            <wp:docPr id="8" name="Picture 8"/>
            <wp:cNvGraphicFramePr>
              <a:graphicFrameLocks noChangeAspect="1"/>
            </wp:cNvGraphicFramePr>
            <a:graphic>
              <a:graphicData uri="http://schemas.openxmlformats.org/drawingml/2006/picture">
                <pic:pic>
                  <pic:nvPicPr>
                    <pic:cNvPr id="0" name="interp_tft_04_encoder_vars.png"/>
                    <pic:cNvPicPr/>
                  </pic:nvPicPr>
                  <pic:blipFill>
                    <a:blip r:embed="rId16"/>
                    <a:stretch>
                      <a:fillRect/>
                    </a:stretch>
                  </pic:blipFill>
                  <pic:spPr>
                    <a:xfrm>
                      <a:off x="0" y="0"/>
                      <a:ext cx="5486400" cy="3796062"/>
                    </a:xfrm>
                    <a:prstGeom prst="rect"/>
                  </pic:spPr>
                </pic:pic>
              </a:graphicData>
            </a:graphic>
          </wp:inline>
        </w:drawing>
      </w:r>
    </w:p>
    <w:p>
      <w:pPr>
        <w:jc w:val="center"/>
      </w:pPr>
      <w:r>
        <w:rPr>
          <w:i/>
          <w:sz w:val="18"/>
        </w:rPr>
        <w:t>Figure 8. TFT encoder variable-selection importances.</w:t>
      </w:r>
    </w:p>
    <w:p>
      <w:pPr>
        <w:pStyle w:val="Heading2"/>
      </w:pPr>
      <w:r>
        <w:t>6.3 Cross-check with gradient boosting</w:t>
      </w:r>
    </w:p>
    <w:p>
      <w:pPr>
        <w:jc w:val="center"/>
      </w:pPr>
      <w:r>
        <w:drawing>
          <wp:inline xmlns:a="http://schemas.openxmlformats.org/drawingml/2006/main" xmlns:pic="http://schemas.openxmlformats.org/drawingml/2006/picture">
            <wp:extent cx="5486400" cy="3133655"/>
            <wp:docPr id="9" name="Picture 9"/>
            <wp:cNvGraphicFramePr>
              <a:graphicFrameLocks noChangeAspect="1"/>
            </wp:cNvGraphicFramePr>
            <a:graphic>
              <a:graphicData uri="http://schemas.openxmlformats.org/drawingml/2006/picture">
                <pic:pic>
                  <pic:nvPicPr>
                    <pic:cNvPr id="0" name="interp_07_tft_vs_lgbm.png"/>
                    <pic:cNvPicPr/>
                  </pic:nvPicPr>
                  <pic:blipFill>
                    <a:blip r:embed="rId17"/>
                    <a:stretch>
                      <a:fillRect/>
                    </a:stretch>
                  </pic:blipFill>
                  <pic:spPr>
                    <a:xfrm>
                      <a:off x="0" y="0"/>
                      <a:ext cx="5486400" cy="3133655"/>
                    </a:xfrm>
                    <a:prstGeom prst="rect"/>
                  </pic:spPr>
                </pic:pic>
              </a:graphicData>
            </a:graphic>
          </wp:inline>
        </w:drawing>
      </w:r>
    </w:p>
    <w:p>
      <w:pPr>
        <w:jc w:val="center"/>
      </w:pPr>
      <w:r>
        <w:rPr>
          <w:i/>
          <w:sz w:val="18"/>
        </w:rPr>
        <w:t>Figure 9. TFT variable selection vs LightGBM gain importance on identical future covariates - an interpretability sanity check across model families.</w:t>
      </w:r>
    </w:p>
    <w:p>
      <w:pPr>
        <w:pStyle w:val="Heading1"/>
      </w:pPr>
      <w:r>
        <w:t>7. External Validation on ASHRAE GEPIII</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MAE</w:t>
            </w:r>
          </w:p>
        </w:tc>
        <w:tc>
          <w:tcPr>
            <w:tcW w:type="dxa" w:w="1234"/>
          </w:tcPr>
          <w:p>
            <w:r>
              <w:rPr>
                <w:b/>
              </w:rPr>
              <w:t>RMSE</w:t>
            </w:r>
          </w:p>
        </w:tc>
        <w:tc>
          <w:tcPr>
            <w:tcW w:type="dxa" w:w="1234"/>
          </w:tcPr>
          <w:p>
            <w:r>
              <w:rPr>
                <w:b/>
              </w:rPr>
              <w:t>CV_RMSE</w:t>
            </w:r>
          </w:p>
        </w:tc>
        <w:tc>
          <w:tcPr>
            <w:tcW w:type="dxa" w:w="1234"/>
          </w:tcPr>
          <w:p>
            <w:r>
              <w:rPr>
                <w:b/>
              </w:rPr>
              <w:t>sMAPE</w:t>
            </w:r>
          </w:p>
        </w:tc>
        <w:tc>
          <w:tcPr>
            <w:tcW w:type="dxa" w:w="1234"/>
          </w:tcPr>
          <w:p>
            <w:r>
              <w:rPr>
                <w:b/>
              </w:rPr>
              <w:t>R2</w:t>
            </w:r>
          </w:p>
        </w:tc>
        <w:tc>
          <w:tcPr>
            <w:tcW w:type="dxa" w:w="1234"/>
          </w:tcPr>
          <w:p>
            <w:r>
              <w:rPr>
                <w:b/>
              </w:rPr>
              <w:t>MBE</w:t>
            </w:r>
          </w:p>
        </w:tc>
      </w:tr>
      <w:tr>
        <w:tc>
          <w:tcPr>
            <w:tcW w:type="dxa" w:w="1234"/>
          </w:tcPr>
          <w:p>
            <w:r>
              <w:t>seasonal_naive</w:t>
            </w:r>
          </w:p>
        </w:tc>
        <w:tc>
          <w:tcPr>
            <w:tcW w:type="dxa" w:w="1234"/>
          </w:tcPr>
          <w:p>
            <w:r>
              <w:t>28.129</w:t>
            </w:r>
          </w:p>
        </w:tc>
        <w:tc>
          <w:tcPr>
            <w:tcW w:type="dxa" w:w="1234"/>
          </w:tcPr>
          <w:p>
            <w:r>
              <w:t>148.209</w:t>
            </w:r>
          </w:p>
        </w:tc>
        <w:tc>
          <w:tcPr>
            <w:tcW w:type="dxa" w:w="1234"/>
          </w:tcPr>
          <w:p>
            <w:r>
              <w:t>56.916</w:t>
            </w:r>
          </w:p>
        </w:tc>
        <w:tc>
          <w:tcPr>
            <w:tcW w:type="dxa" w:w="1234"/>
          </w:tcPr>
          <w:p>
            <w:r>
              <w:t>16.473</w:t>
            </w:r>
          </w:p>
        </w:tc>
        <w:tc>
          <w:tcPr>
            <w:tcW w:type="dxa" w:w="1234"/>
          </w:tcPr>
          <w:p>
            <w:r>
              <w:t>0.955</w:t>
            </w:r>
          </w:p>
        </w:tc>
        <w:tc>
          <w:tcPr>
            <w:tcW w:type="dxa" w:w="1234"/>
          </w:tcPr>
          <w:p>
            <w:r>
              <w:t>0.018</w:t>
            </w:r>
          </w:p>
        </w:tc>
      </w:tr>
      <w:tr>
        <w:tc>
          <w:tcPr>
            <w:tcW w:type="dxa" w:w="1234"/>
          </w:tcPr>
          <w:p>
            <w:r>
              <w:t>transformer</w:t>
            </w:r>
          </w:p>
        </w:tc>
        <w:tc>
          <w:tcPr>
            <w:tcW w:type="dxa" w:w="1234"/>
          </w:tcPr>
          <w:p>
            <w:r>
              <w:t>44.918</w:t>
            </w:r>
          </w:p>
        </w:tc>
        <w:tc>
          <w:tcPr>
            <w:tcW w:type="dxa" w:w="1234"/>
          </w:tcPr>
          <w:p>
            <w:r>
              <w:t>161.899</w:t>
            </w:r>
          </w:p>
        </w:tc>
        <w:tc>
          <w:tcPr>
            <w:tcW w:type="dxa" w:w="1234"/>
          </w:tcPr>
          <w:p>
            <w:r>
              <w:t>62.173</w:t>
            </w:r>
          </w:p>
        </w:tc>
        <w:tc>
          <w:tcPr>
            <w:tcW w:type="dxa" w:w="1234"/>
          </w:tcPr>
          <w:p>
            <w:r>
              <w:t>26.178</w:t>
            </w:r>
          </w:p>
        </w:tc>
        <w:tc>
          <w:tcPr>
            <w:tcW w:type="dxa" w:w="1234"/>
          </w:tcPr>
          <w:p>
            <w:r>
              <w:t>0.947</w:t>
            </w:r>
          </w:p>
        </w:tc>
        <w:tc>
          <w:tcPr>
            <w:tcW w:type="dxa" w:w="1234"/>
          </w:tcPr>
          <w:p>
            <w:r>
              <w:t>-3.555</w:t>
            </w:r>
          </w:p>
        </w:tc>
      </w:tr>
      <w:tr>
        <w:tc>
          <w:tcPr>
            <w:tcW w:type="dxa" w:w="1234"/>
          </w:tcPr>
          <w:p>
            <w:r>
              <w:t>attn_lstm</w:t>
            </w:r>
          </w:p>
        </w:tc>
        <w:tc>
          <w:tcPr>
            <w:tcW w:type="dxa" w:w="1234"/>
          </w:tcPr>
          <w:p>
            <w:r>
              <w:t>41.643</w:t>
            </w:r>
          </w:p>
        </w:tc>
        <w:tc>
          <w:tcPr>
            <w:tcW w:type="dxa" w:w="1234"/>
          </w:tcPr>
          <w:p>
            <w:r>
              <w:t>172.688</w:t>
            </w:r>
          </w:p>
        </w:tc>
        <w:tc>
          <w:tcPr>
            <w:tcW w:type="dxa" w:w="1234"/>
          </w:tcPr>
          <w:p>
            <w:r>
              <w:t>66.316</w:t>
            </w:r>
          </w:p>
        </w:tc>
        <w:tc>
          <w:tcPr>
            <w:tcW w:type="dxa" w:w="1234"/>
          </w:tcPr>
          <w:p>
            <w:r>
              <w:t>24.291</w:t>
            </w:r>
          </w:p>
        </w:tc>
        <w:tc>
          <w:tcPr>
            <w:tcW w:type="dxa" w:w="1234"/>
          </w:tcPr>
          <w:p>
            <w:r>
              <w:t>0.939</w:t>
            </w:r>
          </w:p>
        </w:tc>
        <w:tc>
          <w:tcPr>
            <w:tcW w:type="dxa" w:w="1234"/>
          </w:tcPr>
          <w:p>
            <w:r>
              <w:t>19.776</w:t>
            </w:r>
          </w:p>
        </w:tc>
      </w:tr>
      <w:tr>
        <w:tc>
          <w:tcPr>
            <w:tcW w:type="dxa" w:w="1234"/>
          </w:tcPr>
          <w:p>
            <w:r>
              <w:t>tft</w:t>
            </w:r>
          </w:p>
        </w:tc>
        <w:tc>
          <w:tcPr>
            <w:tcW w:type="dxa" w:w="1234"/>
          </w:tcPr>
          <w:p>
            <w:r>
              <w:t>55.452</w:t>
            </w:r>
          </w:p>
        </w:tc>
        <w:tc>
          <w:tcPr>
            <w:tcW w:type="dxa" w:w="1234"/>
          </w:tcPr>
          <w:p>
            <w:r>
              <w:t>217.265</w:t>
            </w:r>
          </w:p>
        </w:tc>
        <w:tc>
          <w:tcPr>
            <w:tcW w:type="dxa" w:w="1234"/>
          </w:tcPr>
          <w:p>
            <w:r>
              <w:t>83.435</w:t>
            </w:r>
          </w:p>
        </w:tc>
        <w:tc>
          <w:tcPr>
            <w:tcW w:type="dxa" w:w="1234"/>
          </w:tcPr>
          <w:p>
            <w:r>
              <w:t>26.405</w:t>
            </w:r>
          </w:p>
        </w:tc>
        <w:tc>
          <w:tcPr>
            <w:tcW w:type="dxa" w:w="1234"/>
          </w:tcPr>
          <w:p>
            <w:r>
              <w:t>0.904</w:t>
            </w:r>
          </w:p>
        </w:tc>
        <w:tc>
          <w:tcPr>
            <w:tcW w:type="dxa" w:w="1234"/>
          </w:tcPr>
          <w:p>
            <w:r>
              <w:t>7.856</w:t>
            </w:r>
          </w:p>
        </w:tc>
      </w:tr>
      <w:tr>
        <w:tc>
          <w:tcPr>
            <w:tcW w:type="dxa" w:w="1234"/>
          </w:tcPr>
          <w:p>
            <w:r>
              <w:t>persistence</w:t>
            </w:r>
          </w:p>
        </w:tc>
        <w:tc>
          <w:tcPr>
            <w:tcW w:type="dxa" w:w="1234"/>
          </w:tcPr>
          <w:p>
            <w:r>
              <w:t>56.935</w:t>
            </w:r>
          </w:p>
        </w:tc>
        <w:tc>
          <w:tcPr>
            <w:tcW w:type="dxa" w:w="1234"/>
          </w:tcPr>
          <w:p>
            <w:r>
              <w:t>229.117</w:t>
            </w:r>
          </w:p>
        </w:tc>
        <w:tc>
          <w:tcPr>
            <w:tcW w:type="dxa" w:w="1234"/>
          </w:tcPr>
          <w:p>
            <w:r>
              <w:t>87.986</w:t>
            </w:r>
          </w:p>
        </w:tc>
        <w:tc>
          <w:tcPr>
            <w:tcW w:type="dxa" w:w="1234"/>
          </w:tcPr>
          <w:p>
            <w:r>
              <w:t>27.105</w:t>
            </w:r>
          </w:p>
        </w:tc>
        <w:tc>
          <w:tcPr>
            <w:tcW w:type="dxa" w:w="1234"/>
          </w:tcPr>
          <w:p>
            <w:r>
              <w:t>0.893</w:t>
            </w:r>
          </w:p>
        </w:tc>
        <w:tc>
          <w:tcPr>
            <w:tcW w:type="dxa" w:w="1234"/>
          </w:tcPr>
          <w:p>
            <w:r>
              <w:t>35.123</w:t>
            </w:r>
          </w:p>
        </w:tc>
      </w:tr>
      <w:tr>
        <w:tc>
          <w:tcPr>
            <w:tcW w:type="dxa" w:w="1234"/>
          </w:tcPr>
          <w:p>
            <w:r>
              <w:t>gru</w:t>
            </w:r>
          </w:p>
        </w:tc>
        <w:tc>
          <w:tcPr>
            <w:tcW w:type="dxa" w:w="1234"/>
          </w:tcPr>
          <w:p>
            <w:r>
              <w:t>73.51</w:t>
            </w:r>
          </w:p>
        </w:tc>
        <w:tc>
          <w:tcPr>
            <w:tcW w:type="dxa" w:w="1234"/>
          </w:tcPr>
          <w:p>
            <w:r>
              <w:t>294.256</w:t>
            </w:r>
          </w:p>
        </w:tc>
        <w:tc>
          <w:tcPr>
            <w:tcW w:type="dxa" w:w="1234"/>
          </w:tcPr>
          <w:p>
            <w:r>
              <w:t>113.001</w:t>
            </w:r>
          </w:p>
        </w:tc>
        <w:tc>
          <w:tcPr>
            <w:tcW w:type="dxa" w:w="1234"/>
          </w:tcPr>
          <w:p>
            <w:r>
              <w:t>30.812</w:t>
            </w:r>
          </w:p>
        </w:tc>
        <w:tc>
          <w:tcPr>
            <w:tcW w:type="dxa" w:w="1234"/>
          </w:tcPr>
          <w:p>
            <w:r>
              <w:t>0.824</w:t>
            </w:r>
          </w:p>
        </w:tc>
        <w:tc>
          <w:tcPr>
            <w:tcW w:type="dxa" w:w="1234"/>
          </w:tcPr>
          <w:p>
            <w:r>
              <w:t>48.664</w:t>
            </w:r>
          </w:p>
        </w:tc>
      </w:tr>
      <w:tr>
        <w:tc>
          <w:tcPr>
            <w:tcW w:type="dxa" w:w="1234"/>
          </w:tcPr>
          <w:p>
            <w:r>
              <w:t>lstm</w:t>
            </w:r>
          </w:p>
        </w:tc>
        <w:tc>
          <w:tcPr>
            <w:tcW w:type="dxa" w:w="1234"/>
          </w:tcPr>
          <w:p>
            <w:r>
              <w:t>71.458</w:t>
            </w:r>
          </w:p>
        </w:tc>
        <w:tc>
          <w:tcPr>
            <w:tcW w:type="dxa" w:w="1234"/>
          </w:tcPr>
          <w:p>
            <w:r>
              <w:t>317.095</w:t>
            </w:r>
          </w:p>
        </w:tc>
        <w:tc>
          <w:tcPr>
            <w:tcW w:type="dxa" w:w="1234"/>
          </w:tcPr>
          <w:p>
            <w:r>
              <w:t>121.772</w:t>
            </w:r>
          </w:p>
        </w:tc>
        <w:tc>
          <w:tcPr>
            <w:tcW w:type="dxa" w:w="1234"/>
          </w:tcPr>
          <w:p>
            <w:r>
              <w:t>36.326</w:t>
            </w:r>
          </w:p>
        </w:tc>
        <w:tc>
          <w:tcPr>
            <w:tcW w:type="dxa" w:w="1234"/>
          </w:tcPr>
          <w:p>
            <w:r>
              <w:t>0.796</w:t>
            </w:r>
          </w:p>
        </w:tc>
        <w:tc>
          <w:tcPr>
            <w:tcW w:type="dxa" w:w="1234"/>
          </w:tcPr>
          <w:p>
            <w:r>
              <w:t>26.757</w:t>
            </w:r>
          </w:p>
        </w:tc>
      </w:tr>
      <w:tr>
        <w:tc>
          <w:tcPr>
            <w:tcW w:type="dxa" w:w="1234"/>
          </w:tcPr>
          <w:p>
            <w:r>
              <w:t>cnn_lstm</w:t>
            </w:r>
          </w:p>
        </w:tc>
        <w:tc>
          <w:tcPr>
            <w:tcW w:type="dxa" w:w="1234"/>
          </w:tcPr>
          <w:p>
            <w:r>
              <w:t>104.161</w:t>
            </w:r>
          </w:p>
        </w:tc>
        <w:tc>
          <w:tcPr>
            <w:tcW w:type="dxa" w:w="1234"/>
          </w:tcPr>
          <w:p>
            <w:r>
              <w:t>421.958</w:t>
            </w:r>
          </w:p>
        </w:tc>
        <w:tc>
          <w:tcPr>
            <w:tcW w:type="dxa" w:w="1234"/>
          </w:tcPr>
          <w:p>
            <w:r>
              <w:t>162.042</w:t>
            </w:r>
          </w:p>
        </w:tc>
        <w:tc>
          <w:tcPr>
            <w:tcW w:type="dxa" w:w="1234"/>
          </w:tcPr>
          <w:p>
            <w:r>
              <w:t>37.6</w:t>
            </w:r>
          </w:p>
        </w:tc>
        <w:tc>
          <w:tcPr>
            <w:tcW w:type="dxa" w:w="1234"/>
          </w:tcPr>
          <w:p>
            <w:r>
              <w:t>0.639</w:t>
            </w:r>
          </w:p>
        </w:tc>
        <w:tc>
          <w:tcPr>
            <w:tcW w:type="dxa" w:w="1234"/>
          </w:tcPr>
          <w:p>
            <w:r>
              <w:t>41.689</w:t>
            </w:r>
          </w:p>
        </w:tc>
      </w:tr>
      <w:tr>
        <w:tc>
          <w:tcPr>
            <w:tcW w:type="dxa" w:w="1234"/>
          </w:tcPr>
          <w:p>
            <w:r>
              <w:t>tcn</w:t>
            </w:r>
          </w:p>
        </w:tc>
        <w:tc>
          <w:tcPr>
            <w:tcW w:type="dxa" w:w="1234"/>
          </w:tcPr>
          <w:p>
            <w:r>
              <w:t>120.205</w:t>
            </w:r>
          </w:p>
        </w:tc>
        <w:tc>
          <w:tcPr>
            <w:tcW w:type="dxa" w:w="1234"/>
          </w:tcPr>
          <w:p>
            <w:r>
              <w:t>529.748</w:t>
            </w:r>
          </w:p>
        </w:tc>
        <w:tc>
          <w:tcPr>
            <w:tcW w:type="dxa" w:w="1234"/>
          </w:tcPr>
          <w:p>
            <w:r>
              <w:t>203.435</w:t>
            </w:r>
          </w:p>
        </w:tc>
        <w:tc>
          <w:tcPr>
            <w:tcW w:type="dxa" w:w="1234"/>
          </w:tcPr>
          <w:p>
            <w:r>
              <w:t>35.771</w:t>
            </w:r>
          </w:p>
        </w:tc>
        <w:tc>
          <w:tcPr>
            <w:tcW w:type="dxa" w:w="1234"/>
          </w:tcPr>
          <w:p>
            <w:r>
              <w:t>0.43</w:t>
            </w:r>
          </w:p>
        </w:tc>
        <w:tc>
          <w:tcPr>
            <w:tcW w:type="dxa" w:w="1234"/>
          </w:tcPr>
          <w:p>
            <w:r>
              <w:t>76.761</w:t>
            </w:r>
          </w:p>
        </w:tc>
      </w:tr>
    </w:tbl>
    <w:p>
      <w:pPr>
        <w:jc w:val="center"/>
      </w:pPr>
      <w:r>
        <w:rPr>
          <w:i/>
          <w:sz w:val="18"/>
        </w:rPr>
        <w:t>Table 4. Zero-shot transfer metrics on disjoint GEPIII electricity buildings (MAPE omitted; many GEPIII loads approach zero). CV-RMSE rises markedly vs the in-domain test, quantifying the cross-dataset generalization gap; the training-free seasonal-naive transfers most robustly.</w:t>
      </w:r>
    </w:p>
    <w:p>
      <w:pPr>
        <w:pStyle w:val="Heading1"/>
      </w:pPr>
      <w:r>
        <w:t>8. Discussion</w:t>
      </w:r>
    </w:p>
    <w:p>
      <w:r>
        <w:t>The controlled setup lets us attribute differences to the model class. Gradient boosting is a strong, fast baseline; recurrent and attention models close or exceed the gap while offering multi-horizon coherence. Crucially, the attention models are not only competitive but *legible*: their learned temporal focus and variable importances align with domain knowledge and with a model-agnostic baseline, supporting operator trust.</w:t>
      </w:r>
    </w:p>
    <w:p>
      <w:pPr>
        <w:pStyle w:val="Heading1"/>
      </w:pPr>
      <w:r>
        <w:t>9. Limitations</w:t>
      </w:r>
    </w:p>
    <w:p>
      <w:r>
        <w:t>Experiments use a CPU-tractable subset (32 buildings) and the electricity meter; weather is treated as known over the horizon (a perfect-forecast assumption); and GEPIII shares provenance with BDG2, mitigated but not eliminated by overlap exclusion. Scaling to all meters/buildings and probabilistic (quantile) forecasting are natural extensions.</w:t>
      </w:r>
    </w:p>
    <w:p>
      <w:pPr>
        <w:pStyle w:val="Heading1"/>
      </w:pPr>
      <w:r>
        <w:t>10. Conclusion</w:t>
      </w:r>
    </w:p>
    <w:p>
      <w:r>
        <w:t>On a diverse BDG2 subset, attention-based deep learning delivers accurate day-ahead electricity forecasts while remaining interpretable. LightGBM leads on aggregate accuracy, and the TFT's attention and variable selection recover the daily/weekly periodicity and physically meaningful drivers of building load, narrowing the trust gap between accuracy and explainability.</w:t>
      </w:r>
    </w:p>
    <w:p>
      <w:pPr>
        <w:pStyle w:val="Heading1"/>
      </w:pPr>
      <w:r>
        <w:t>References</w:t>
      </w:r>
    </w:p>
    <w:p>
      <w:r>
        <w:t>1. Miller, C. et al. (2020). *The Building Data Genome Project 2: an open dataset of 3,053 energy meters from 1,636 buildings.* Scientific Data.</w:t>
      </w:r>
    </w:p>
    <w:p>
      <w:r>
        <w:t>2. Miller, C. et al. (2020). *The ASHRAE Great Energy Predictor III competition.* Energy and Buildings.</w:t>
      </w:r>
    </w:p>
    <w:p>
      <w:r>
        <w:t>3. Lim, B., Arik, S.O., Loeff, N., Pfister, T. (2021). *Temporal Fusion Transformers for interpretable multi-horizon time series forecasting.* IJF.</w:t>
      </w:r>
    </w:p>
    <w:p>
      <w:r>
        <w:t>4. Vaswani, A. et al. (2017). *Attention is All You Need.* NeurIPS.</w:t>
      </w:r>
    </w:p>
    <w:p>
      <w:r>
        <w:t>5. Hochreiter, S., Schmidhuber, J. (1997). *Long Short-Term Memory.* Neural Comp.</w:t>
      </w:r>
    </w:p>
    <w:p>
      <w:r>
        <w:t>6. Bai, S., Kolter, J.Z., Koltun, V. (2018). *An Empirical Evaluation of Generic Convolutional and Recurrent Networks for Sequence Modeling.* arXiv.</w:t>
      </w:r>
    </w:p>
    <w:p>
      <w:r>
        <w:t>7. Ke, G. et al. (2017). *LightGBM: A Highly Efficient Gradient Boosting Decision Tree.* NeurIPS.</w:t>
      </w:r>
    </w:p>
    <w:p>
      <w:r>
        <w:t>8. Luong, M.-T., Pham, H., Manning, C. (2015). *Effective Approaches to Attention-based Neural Machine Translation.* EMNLP.</w:t>
      </w:r>
    </w:p>
    <w:p>
      <w:pPr>
        <w:pStyle w:val="Heading1"/>
      </w:pPr>
      <w:r>
        <w:t>Appendix A. Reproducibility</w:t>
      </w:r>
    </w:p>
    <w:p>
      <w:r>
        <w:t>All steps are driven by `config/config.yaml` (seed, subset, windowing, hyperparameters). Pipeline: `download -&gt; preprocess -&gt; features -&gt; windowing -&gt; eda -&gt; train --all -&gt; evaluate -&gt; interpret -&gt; external_validation -&gt; paper`.</w:t>
      </w:r>
    </w:p>
    <w:p>
      <w:pPr>
        <w:pStyle w:val="Heading2"/>
      </w:pPr>
      <w:r>
        <w:t>A.1 Model size and training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params</w:t>
            </w:r>
          </w:p>
        </w:tc>
        <w:tc>
          <w:tcPr>
            <w:tcW w:type="dxa" w:w="2880"/>
          </w:tcPr>
          <w:p>
            <w:r>
              <w:rPr>
                <w:b/>
              </w:rPr>
              <w:t>train_time_s</w:t>
            </w:r>
          </w:p>
        </w:tc>
      </w:tr>
      <w:tr>
        <w:tc>
          <w:tcPr>
            <w:tcW w:type="dxa" w:w="2880"/>
          </w:tcPr>
          <w:p>
            <w:r>
              <w:t>persistence</w:t>
            </w:r>
          </w:p>
        </w:tc>
        <w:tc>
          <w:tcPr>
            <w:tcW w:type="dxa" w:w="2880"/>
          </w:tcPr>
          <w:p>
            <w:r>
              <w:t>0</w:t>
            </w:r>
          </w:p>
        </w:tc>
        <w:tc>
          <w:tcPr>
            <w:tcW w:type="dxa" w:w="2880"/>
          </w:tcPr>
          <w:p>
            <w:r>
              <w:t>0</w:t>
            </w:r>
          </w:p>
        </w:tc>
      </w:tr>
      <w:tr>
        <w:tc>
          <w:tcPr>
            <w:tcW w:type="dxa" w:w="2880"/>
          </w:tcPr>
          <w:p>
            <w:r>
              <w:t>seasonal_naive</w:t>
            </w:r>
          </w:p>
        </w:tc>
        <w:tc>
          <w:tcPr>
            <w:tcW w:type="dxa" w:w="2880"/>
          </w:tcPr>
          <w:p>
            <w:r>
              <w:t>0</w:t>
            </w:r>
          </w:p>
        </w:tc>
        <w:tc>
          <w:tcPr>
            <w:tcW w:type="dxa" w:w="2880"/>
          </w:tcPr>
          <w:p>
            <w:r>
              <w:t>0</w:t>
            </w:r>
          </w:p>
        </w:tc>
      </w:tr>
      <w:tr>
        <w:tc>
          <w:tcPr>
            <w:tcW w:type="dxa" w:w="2880"/>
          </w:tcPr>
          <w:p>
            <w:r>
              <w:t>linear</w:t>
            </w:r>
          </w:p>
        </w:tc>
        <w:tc>
          <w:tcPr>
            <w:tcW w:type="dxa" w:w="2880"/>
          </w:tcPr>
          <w:p>
            <w:r>
              <w:t>0</w:t>
            </w:r>
          </w:p>
        </w:tc>
        <w:tc>
          <w:tcPr>
            <w:tcW w:type="dxa" w:w="2880"/>
          </w:tcPr>
          <w:p>
            <w:r>
              <w:t>6.1</w:t>
            </w:r>
          </w:p>
        </w:tc>
      </w:tr>
      <w:tr>
        <w:tc>
          <w:tcPr>
            <w:tcW w:type="dxa" w:w="2880"/>
          </w:tcPr>
          <w:p>
            <w:r>
              <w:t>lightgbm</w:t>
            </w:r>
          </w:p>
        </w:tc>
        <w:tc>
          <w:tcPr>
            <w:tcW w:type="dxa" w:w="2880"/>
          </w:tcPr>
          <w:p>
            <w:r>
              <w:t>0</w:t>
            </w:r>
          </w:p>
        </w:tc>
        <w:tc>
          <w:tcPr>
            <w:tcW w:type="dxa" w:w="2880"/>
          </w:tcPr>
          <w:p>
            <w:r>
              <w:t>27.5</w:t>
            </w:r>
          </w:p>
        </w:tc>
      </w:tr>
      <w:tr>
        <w:tc>
          <w:tcPr>
            <w:tcW w:type="dxa" w:w="2880"/>
          </w:tcPr>
          <w:p>
            <w:r>
              <w:t>lstm</w:t>
            </w:r>
          </w:p>
        </w:tc>
        <w:tc>
          <w:tcPr>
            <w:tcW w:type="dxa" w:w="2880"/>
          </w:tcPr>
          <w:p>
            <w:r>
              <w:t>222593</w:t>
            </w:r>
          </w:p>
        </w:tc>
        <w:tc>
          <w:tcPr>
            <w:tcW w:type="dxa" w:w="2880"/>
          </w:tcPr>
          <w:p>
            <w:r>
              <w:t>563.9</w:t>
            </w:r>
          </w:p>
        </w:tc>
      </w:tr>
      <w:tr>
        <w:tc>
          <w:tcPr>
            <w:tcW w:type="dxa" w:w="2880"/>
          </w:tcPr>
          <w:p>
            <w:r>
              <w:t>gru</w:t>
            </w:r>
          </w:p>
        </w:tc>
        <w:tc>
          <w:tcPr>
            <w:tcW w:type="dxa" w:w="2880"/>
          </w:tcPr>
          <w:p>
            <w:r>
              <w:t>169473</w:t>
            </w:r>
          </w:p>
        </w:tc>
        <w:tc>
          <w:tcPr>
            <w:tcW w:type="dxa" w:w="2880"/>
          </w:tcPr>
          <w:p>
            <w:r>
              <w:t>1428</w:t>
            </w:r>
          </w:p>
        </w:tc>
      </w:tr>
      <w:tr>
        <w:tc>
          <w:tcPr>
            <w:tcW w:type="dxa" w:w="2880"/>
          </w:tcPr>
          <w:p>
            <w:r>
              <w:t>tcn</w:t>
            </w:r>
          </w:p>
        </w:tc>
        <w:tc>
          <w:tcPr>
            <w:tcW w:type="dxa" w:w="2880"/>
          </w:tcPr>
          <w:p>
            <w:r>
              <w:t>73793</w:t>
            </w:r>
          </w:p>
        </w:tc>
        <w:tc>
          <w:tcPr>
            <w:tcW w:type="dxa" w:w="2880"/>
          </w:tcPr>
          <w:p>
            <w:r>
              <w:t>1128.9</w:t>
            </w:r>
          </w:p>
        </w:tc>
      </w:tr>
      <w:tr>
        <w:tc>
          <w:tcPr>
            <w:tcW w:type="dxa" w:w="2880"/>
          </w:tcPr>
          <w:p>
            <w:r>
              <w:t>cnn_lstm</w:t>
            </w:r>
          </w:p>
        </w:tc>
        <w:tc>
          <w:tcPr>
            <w:tcW w:type="dxa" w:w="2880"/>
          </w:tcPr>
          <w:p>
            <w:r>
              <w:t>142593</w:t>
            </w:r>
          </w:p>
        </w:tc>
        <w:tc>
          <w:tcPr>
            <w:tcW w:type="dxa" w:w="2880"/>
          </w:tcPr>
          <w:p>
            <w:r>
              <w:t>665.3</w:t>
            </w:r>
          </w:p>
        </w:tc>
      </w:tr>
      <w:tr>
        <w:tc>
          <w:tcPr>
            <w:tcW w:type="dxa" w:w="2880"/>
          </w:tcPr>
          <w:p>
            <w:r>
              <w:t>transformer</w:t>
            </w:r>
          </w:p>
        </w:tc>
        <w:tc>
          <w:tcPr>
            <w:tcW w:type="dxa" w:w="2880"/>
          </w:tcPr>
          <w:p>
            <w:r>
              <w:t>103233</w:t>
            </w:r>
          </w:p>
        </w:tc>
        <w:tc>
          <w:tcPr>
            <w:tcW w:type="dxa" w:w="2880"/>
          </w:tcPr>
          <w:p>
            <w:r>
              <w:t>5296.1</w:t>
            </w:r>
          </w:p>
        </w:tc>
      </w:tr>
      <w:tr>
        <w:tc>
          <w:tcPr>
            <w:tcW w:type="dxa" w:w="2880"/>
          </w:tcPr>
          <w:p>
            <w:r>
              <w:t>attn_lstm</w:t>
            </w:r>
          </w:p>
        </w:tc>
        <w:tc>
          <w:tcPr>
            <w:tcW w:type="dxa" w:w="2880"/>
          </w:tcPr>
          <w:p>
            <w:r>
              <w:t>263681</w:t>
            </w:r>
          </w:p>
        </w:tc>
        <w:tc>
          <w:tcPr>
            <w:tcW w:type="dxa" w:w="2880"/>
          </w:tcPr>
          <w:p>
            <w:r>
              <w:t>669.2</w:t>
            </w:r>
          </w:p>
        </w:tc>
      </w:tr>
      <w:tr>
        <w:tc>
          <w:tcPr>
            <w:tcW w:type="dxa" w:w="2880"/>
          </w:tcPr>
          <w:p>
            <w:r>
              <w:t>tft</w:t>
            </w:r>
          </w:p>
        </w:tc>
        <w:tc>
          <w:tcPr>
            <w:tcW w:type="dxa" w:w="2880"/>
          </w:tcPr>
          <w:p>
            <w:r>
              <w:t>297441</w:t>
            </w:r>
          </w:p>
        </w:tc>
        <w:tc>
          <w:tcPr>
            <w:tcW w:type="dxa" w:w="2880"/>
          </w:tcPr>
          <w:p>
            <w:r>
              <w:t>9430.5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