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6E"/>
          <w:sz w:val="48"/>
          <w:szCs w:val="48"/>
        </w:rPr>
        <w:t xml:space="preserve">Design System — Component Architecture &amp; Adoption</w:t>
      </w:r>
    </w:p>
    <w:p>
      <w:pPr>
        <w:spacing w:after="400"/>
        <w:jc w:val="center"/>
      </w:pPr>
      <w:r>
        <w:rPr>
          <w:rFonts w:ascii="Arial" w:cs="Arial" w:eastAsia="Arial" w:hAnsi="Arial"/>
          <w:color w:val="333333"/>
          <w:sz w:val="28"/>
          <w:szCs w:val="28"/>
        </w:rPr>
        <w:t xml:space="preserve">Case Study Review #5</w:t>
      </w:r>
    </w:p>
    <w:p>
      <w:pPr>
        <w:spacing w:after="200"/>
        <w:jc w:val="center"/>
      </w:pPr>
      <w:r>
        <w:rPr>
          <w:rFonts w:ascii="Arial" w:cs="Arial" w:eastAsia="Arial" w:hAnsi="Arial"/>
          <w:color w:val="333333"/>
          <w:sz w:val="22"/>
          <w:szCs w:val="22"/>
        </w:rPr>
        <w:t xml:space="preserve">Harry Hein | March 18, 2026</w:t>
      </w:r>
    </w:p>
    <w:p>
      <w:pPr>
        <w:jc w:val="center"/>
      </w:pPr>
      <w:r>
        <w:rPr>
          <w:rFonts w:ascii="Arial" w:cs="Arial" w:eastAsia="Arial" w:hAnsi="Arial"/>
          <w:color w:val="1A3C6E"/>
          <w:sz w:val="20"/>
          <w:szCs w:val="20"/>
        </w:rPr>
        <w:t xml:space="preserve">hello-harry.vercel.app</w:t>
      </w:r>
    </w:p>
    <w:p>
      <w:r>
        <w:br w:type="page"/>
      </w:r>
    </w:p>
    <w:p>
      <w:pPr>
        <w:pStyle w:val="Heading1"/>
        <w:spacing w:after="200" w:before="360"/>
      </w:pPr>
      <w:r>
        <w:rPr>
          <w:rFonts w:ascii="Arial" w:cs="Arial" w:eastAsia="Arial" w:hAnsi="Arial"/>
          <w:b/>
          <w:bCs/>
          <w:color w:val="1A3C6E"/>
          <w:sz w:val="32"/>
          <w:szCs w:val="32"/>
        </w:rPr>
        <w:t xml:space="preserve">Case Study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System — Component Architecture &amp; Adoption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Slides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UX Designer at Raytail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Multi-platform design system with adoption metrics, token override tracking, and motion token roadmap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Key Metrics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90% adoption, Web 70% adoption, &lt;5% token override rate, component taxonomy (stable/experimental/deprecated)</w:t>
            </w:r>
          </w:p>
        </w:tc>
      </w:tr>
    </w:tbl>
    <w:p>
      <w:r>
        <w:br w:type="page"/>
      </w:r>
    </w:p>
    <w:p>
      <w:pPr>
        <w:pStyle w:val="Heading1"/>
        <w:spacing w:after="200" w:before="360"/>
      </w:pPr>
      <w:r>
        <w:rPr>
          <w:rFonts w:ascii="Arial" w:cs="Arial" w:eastAsia="Arial" w:hAnsi="Arial"/>
          <w:b/>
          <w:bCs/>
          <w:color w:val="1A3C6E"/>
          <w:sz w:val="32"/>
          <w:szCs w:val="32"/>
        </w:rPr>
        <w:t xml:space="preserve">Part 1: UX Design Lead Assessment</w:t>
      </w:r>
    </w:p>
    <w:p>
      <w:pPr>
        <w:spacing w:after="120"/>
      </w:pPr>
      <w:r>
        <w:rPr>
          <w:rFonts w:ascii="Arial" w:cs="Arial" w:eastAsia="Arial" w:hAnsi="Arial"/>
          <w:sz w:val="20"/>
          <w:szCs w:val="20"/>
        </w:rPr>
        <w:t xml:space="preserve">Evaluating whether this case study demonstrates the design competence a UX team lead would look for in a senior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Design Process &amp; Methodology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Strong case study on cross-platform design system with explicit range explanations. Slide 10 now clearly states adoption ranges: 'POS at 90% (simpler components) and Web at 70% (more complex table components)' with methodology note 'Based on tracked releases before and after adoption.' NEW: 'Token override rate across codebases remained under 5%, indicating strong adoption of system values.' These v4 additions directly address V2 fabrication concern about unexplained ranges. Slide 12 includes motion token roadmap (transition duration tiers, easing curves, platform-specific animation libraries) which was a V2 improvement suggestion—now implemented. Component status taxonomy discussed (stable/experimental/deprecated).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Impact &amp;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Adoption metrics now grounded: 90% POS (simpler), 70% Web (more complex). Token override &lt;5% shows strong adherence. These are credible ranges with context. Before/After comparison table shows detailed metrics. Stakeholder Outcome section addresses DS shifting from 'designer overhead' to 'strategic asset.' However, revenue impact, development velocity gain, or onboarding time reduction not measured—adoption and token discipline are proxy metrics.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Technical Breadth &amp; Depth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Multi-platform component library (POS, Web). Token-driven design system with override tracking. Component status taxonomy demonstrates mature system thinking. Motion token roadmap shows forward planning. Technical architecture is solid and production-grade.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Research Rigor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system research is inherently about designer/developer adoption, not end-user research. No explicit 'interviews with designers' mentioned, though before/after adoption tracking is visible. This is appropriate for design system scope but represents different research type than product case studies.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Collaboration &amp; Communication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9/10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UX Designer role managing cross-functional adoption. System adoption by multiple teams (POS, Web) shows organizational influence. Stakeholder communication about DS value (from overhead to strategic asset) is key leadership capability visible here. Strongest team signal in portfolio.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Portfolio UX &amp; 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15-slide case study covers problem, solution, adoption, reflection. Adoption metrics are more detailed in V4. Before/After comparison is clear. Component taxonomy diagram would strengthen presentation if included.</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8.2/10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STRONG</w:t>
            </w:r>
          </w:p>
        </w:tc>
      </w:tr>
    </w:tbl>
    <w:p>
      <w:r>
        <w:br w:type="page"/>
      </w:r>
    </w:p>
    <w:p>
      <w:pPr>
        <w:pStyle w:val="Heading1"/>
        <w:spacing w:after="200" w:before="360"/>
      </w:pPr>
      <w:r>
        <w:rPr>
          <w:rFonts w:ascii="Arial" w:cs="Arial" w:eastAsia="Arial" w:hAnsi="Arial"/>
          <w:b/>
          <w:bCs/>
          <w:color w:val="1A3C6E"/>
          <w:sz w:val="32"/>
          <w:szCs w:val="32"/>
        </w:rPr>
        <w:t xml:space="preserve">Part 2: Talent Acquisition Assessment</w:t>
      </w:r>
    </w:p>
    <w:p>
      <w:pPr>
        <w:spacing w:after="120"/>
      </w:pPr>
      <w:r>
        <w:rPr>
          <w:rFonts w:ascii="Arial" w:cs="Arial" w:eastAsia="Arial" w:hAnsi="Arial"/>
          <w:sz w:val="20"/>
          <w:szCs w:val="20"/>
        </w:rPr>
        <w:t xml:space="preserve">Evaluating whether this case study would pass screening and compel a recruiter to put the candidate in front of a hiring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Professional Positioning &amp; Brand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system expertise signals leadership capability. Adoption-focused metrics (not just design craft) show business acumen. Lead role establishes seniority.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Experience Credibility &amp; Trajectory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Raytail employee with influence across multiple teams. Design System adoption across teams proves organizational impact.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Skills &amp; Market Alignment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9/10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Component architecture, token systems, cross-platform design, adoption strategy. Design system expertise is extremely valuable and scarce. This positions candidate as T-shaped with depth in systems thinking.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 Flags Assessment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Ranges (90% and 70%) are now explained with context, addressing V2 concern. &lt;5% token override is specific credible metric. No major red flags.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Compensation &amp; Level Indicators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9/10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UX Designer with system adoption and multi-team influence. $160-200K+ range depending on company/location.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Cultural Fit &amp; Soft Skills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9/10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thinking, cross-team influence, adoption strategy. Design system leadership signals strong collaboration.</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8.7/10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STRONG</w:t>
            </w:r>
          </w:p>
        </w:tc>
      </w:tr>
    </w:tbl>
    <w:p>
      <w:r>
        <w:br w:type="page"/>
      </w:r>
    </w:p>
    <w:p>
      <w:pPr>
        <w:pStyle w:val="Heading1"/>
        <w:spacing w:after="200" w:before="360"/>
      </w:pPr>
      <w:r>
        <w:rPr>
          <w:rFonts w:ascii="Arial" w:cs="Arial" w:eastAsia="Arial" w:hAnsi="Arial"/>
          <w:b/>
          <w:bCs/>
          <w:color w:val="1A3C6E"/>
          <w:sz w:val="32"/>
          <w:szCs w:val="32"/>
        </w:rPr>
        <w:t xml:space="preserve">Part 3: AI Authenticity Audit</w:t>
      </w:r>
    </w:p>
    <w:p>
      <w:pPr>
        <w:spacing w:after="120"/>
      </w:pPr>
      <w:r>
        <w:rPr>
          <w:rFonts w:ascii="Arial" w:cs="Arial" w:eastAsia="Arial" w:hAnsi="Arial"/>
          <w:b/>
          <w:bCs/>
          <w:sz w:val="20"/>
          <w:szCs w:val="20"/>
        </w:rPr>
        <w:t xml:space="preserve">Overall AI Authenticity Score: 8.5/10 (10 = fully human, 1 = fully AI)</w:t>
      </w:r>
    </w:p>
    <w:p>
      <w:pPr>
        <w:spacing w:after="120"/>
      </w:pPr>
      <w:r>
        <w:rPr>
          <w:rFonts w:ascii="Arial" w:cs="Arial" w:eastAsia="Arial" w:hAnsi="Arial"/>
          <w:sz w:val="20"/>
          <w:szCs w:val="20"/>
        </w:rPr>
        <w:t xml:space="preserve">High authenticity. Adoption explanations, token tracking, and roadmap specificity all ring true. Ranges explained with context (complexity difference) is exact kind of detail humans provide.</w:t>
      </w:r>
    </w:p>
    <w:p>
      <w:pPr>
        <w:pStyle w:val="Heading2"/>
        <w:spacing w:after="160" w:before="280"/>
      </w:pPr>
      <w:r>
        <w:rPr>
          <w:rFonts w:ascii="Arial" w:cs="Arial" w:eastAsia="Arial" w:hAnsi="Arial"/>
          <w:b/>
          <w:bCs/>
          <w:color w:val="1A3C6E"/>
          <w:sz w:val="28"/>
          <w:szCs w:val="28"/>
        </w:rPr>
        <w:t xml:space="preserve">Element-by-Element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 Signal</w:t>
            </w:r>
          </w:p>
        </w:tc>
        <w:tc>
          <w:tcPr>
            <w:tcW w:type="dxa" w:w="4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Adoption range explanations (90% POS vs 70% Web)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Contextual reasoning (component complexity difference) is specific and credible.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override tracking &lt;5%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metric from actual system monitoring.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Component status taxonomy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Standard design system practice (stable/experimental/deprecated), shows maturity.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Motion token roadmap details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technical features (transition duration tiers, easing curves). Shows design system thinking.</w:t>
            </w:r>
          </w:p>
        </w:tc>
      </w:tr>
    </w:tbl>
    <w:p>
      <w:r>
        <w:br w:type="page"/>
      </w:r>
    </w:p>
    <w:p>
      <w:pPr>
        <w:pStyle w:val="Heading1"/>
        <w:spacing w:after="200" w:before="360"/>
      </w:pPr>
      <w:r>
        <w:rPr>
          <w:rFonts w:ascii="Arial" w:cs="Arial" w:eastAsia="Arial" w:hAnsi="Arial"/>
          <w:b/>
          <w:bCs/>
          <w:color w:val="1A3C6E"/>
          <w:sz w:val="32"/>
          <w:szCs w:val="32"/>
        </w:rPr>
        <w:t xml:space="preserve">Part 4: Fabrication &amp; Credibility Audit</w:t>
      </w:r>
    </w:p>
    <w:p>
      <w:pPr>
        <w:spacing w:after="120"/>
      </w:pPr>
      <w:r>
        <w:rPr>
          <w:rFonts w:ascii="Arial" w:cs="Arial" w:eastAsia="Arial" w:hAnsi="Arial"/>
          <w:sz w:val="20"/>
          <w:szCs w:val="20"/>
        </w:rPr>
        <w:t xml:space="preserve">Every claim, metric, persona detail, and outcome statement is assessed for plausibility. Verdicts: Credible (evidence supports claim), Questionable (claim needs additional evidence), Likely Fabricated (claim contradicts available evidence), Notable (significant absence worth flagging).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4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 90%, Web 70% adoption" with platform-specific reasoning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Credible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Ranges explained by component complexity (POS has simpler components, higher adoption; Web has complex tables, lower adoption). This reasoning is plausible and specific. No longer vague ranges.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"&lt;5% token override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Credible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percentage from actual system metrics. Technical measure that would be tracked in design system governance.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"Motion token roadmap: transition duration, easing curves, animation libraries"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Credible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This was a V2 improvement suggestion and has now been implemented in V4. Implementation details (100ms/200ms/300ms tiers) are specific and technical.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status taxonomy" (stable/experimental/deprecated)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Credible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design system versioning practice. Verifiable in documentation.</w:t>
            </w:r>
          </w:p>
        </w:tc>
      </w:tr>
    </w:tbl>
    <w:p>
      <w:r>
        <w:br w:type="page"/>
      </w:r>
    </w:p>
    <w:p>
      <w:pPr>
        <w:pStyle w:val="Heading1"/>
        <w:spacing w:after="200" w:before="360"/>
      </w:pPr>
      <w:r>
        <w:rPr>
          <w:rFonts w:ascii="Arial" w:cs="Arial" w:eastAsia="Arial" w:hAnsi="Arial"/>
          <w:b/>
          <w:bCs/>
          <w:color w:val="1A3C6E"/>
          <w:sz w:val="32"/>
          <w:szCs w:val="32"/>
        </w:rPr>
        <w:t xml:space="preserve">Key Strengths</w:t>
      </w:r>
    </w:p>
    <w:p>
      <w:pPr>
        <w:pStyle w:val="ListParagraph"/>
        <w:numPr>
          <w:ilvl w:val="0"/>
          <w:numId w:val="2"/>
        </w:numPr>
        <w:spacing w:after="80"/>
      </w:pPr>
      <w:r>
        <w:rPr>
          <w:rFonts w:ascii="Arial" w:cs="Arial" w:eastAsia="Arial" w:hAnsi="Arial"/>
          <w:sz w:val="20"/>
          <w:szCs w:val="20"/>
        </w:rPr>
        <w:t xml:space="preserve">Adoption metrics now explained by context: 90% on POS (simpler components) vs 70% on Web (complex tables) — removes appearance of fabricated ranges.</w:t>
      </w:r>
    </w:p>
    <w:p>
      <w:pPr>
        <w:pStyle w:val="ListParagraph"/>
        <w:numPr>
          <w:ilvl w:val="0"/>
          <w:numId w:val="2"/>
        </w:numPr>
        <w:spacing w:after="80"/>
      </w:pPr>
      <w:r>
        <w:rPr>
          <w:rFonts w:ascii="Arial" w:cs="Arial" w:eastAsia="Arial" w:hAnsi="Arial"/>
          <w:sz w:val="20"/>
          <w:szCs w:val="20"/>
        </w:rPr>
        <w:t xml:space="preserve">Token override &lt;5% is quantified governance metric showing disciplined system usage across teams.</w:t>
      </w:r>
    </w:p>
    <w:p>
      <w:pPr>
        <w:pStyle w:val="ListParagraph"/>
        <w:numPr>
          <w:ilvl w:val="0"/>
          <w:numId w:val="2"/>
        </w:numPr>
        <w:spacing w:after="80"/>
      </w:pPr>
      <w:r>
        <w:rPr>
          <w:rFonts w:ascii="Arial" w:cs="Arial" w:eastAsia="Arial" w:hAnsi="Arial"/>
          <w:sz w:val="20"/>
          <w:szCs w:val="20"/>
        </w:rPr>
        <w:t xml:space="preserve">Motion token roadmap directly implements V2 improvement feedback, demonstrating responsiveness to critique.</w:t>
      </w:r>
    </w:p>
    <w:p>
      <w:pPr>
        <w:pStyle w:val="ListParagraph"/>
        <w:numPr>
          <w:ilvl w:val="0"/>
          <w:numId w:val="2"/>
        </w:numPr>
        <w:spacing w:after="80"/>
      </w:pPr>
      <w:r>
        <w:rPr>
          <w:rFonts w:ascii="Arial" w:cs="Arial" w:eastAsia="Arial" w:hAnsi="Arial"/>
          <w:sz w:val="20"/>
          <w:szCs w:val="20"/>
        </w:rPr>
        <w:t xml:space="preserve">Stakeholder narrative shift (overhead→strategic asset) shows business impact and change management thinking.</w:t>
      </w:r>
    </w:p>
    <w:p>
      <w:pPr>
        <w:pStyle w:val="ListParagraph"/>
        <w:numPr>
          <w:ilvl w:val="0"/>
          <w:numId w:val="2"/>
        </w:numPr>
        <w:spacing w:after="80"/>
      </w:pPr>
      <w:r>
        <w:rPr>
          <w:rFonts w:ascii="Arial" w:cs="Arial" w:eastAsia="Arial" w:hAnsi="Arial"/>
          <w:sz w:val="20"/>
          <w:szCs w:val="20"/>
        </w:rPr>
        <w:t xml:space="preserve">Lead role managing cross-team adoption signals leadership capability beyond IC work.</w:t>
      </w:r>
    </w:p>
    <w:p>
      <w:r>
        <w:br w:type="page"/>
      </w:r>
    </w:p>
    <w:p>
      <w:pPr>
        <w:pStyle w:val="Heading1"/>
        <w:spacing w:after="200" w:before="360"/>
      </w:pPr>
      <w:r>
        <w:rPr>
          <w:rFonts w:ascii="Arial" w:cs="Arial" w:eastAsia="Arial" w:hAnsi="Arial"/>
          <w:b/>
          <w:bCs/>
          <w:color w:val="1A3C6E"/>
          <w:sz w:val="32"/>
          <w:szCs w:val="32"/>
        </w:rPr>
        <w:t xml:space="preserve">Areas for Improvement — Detailed Analysis</w:t>
      </w:r>
    </w:p>
    <w:p>
      <w:pPr>
        <w:spacing w:after="120"/>
      </w:pPr>
      <w:r>
        <w:rPr>
          <w:rFonts w:ascii="Arial" w:cs="Arial" w:eastAsia="Arial" w:hAnsi="Arial"/>
          <w:sz w:val="20"/>
          <w:szCs w:val="20"/>
        </w:rPr>
        <w:t xml:space="preserve">Each issue is assessed by severity, explained with reasoning about why it matters to hiring managers, and accompanied by a specific, actionable suggestion for how to fix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Why It Hurts</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Suggested Fix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Adoption metrics don't explain the measurement methodology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 know 90% of POS and 70% of Web components are adopted, but how is 'adoption' measured? Is it (a) components included in production code? (b) designer's self-reported usage? (c) compile-time token resolution? Different measurement methods yield different credibility. For example, 'all components present in built app but team might override tokens' is different from 'developers actively using components from design system.'</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Slide 10 should clarify: 'Adoption measured as: Percentage of components used in production releases (built binaries for POS app, compiled web bundles). Non-adoption = custom components built locally instead of system component. Tracking based on artifact analysis (POS binary scans for component usage) and Web bundle analysis (token imports).' This transparency makes the metric verifiable.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Before/After metrics exist but quantification not shown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Slide 11 shows before/after comparison but specifics are vague. Example: did adoption take 3 months or 12 months to achieve 90%? What was the baseline before adoption effort (0%?)? How did velocity change?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undefined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discussion of what caused 20% difference in adoption (POS 90% vs Web 70%)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case study explains that Web has more complex components (tables) so lower adoption makes sense. But it doesn't quantify: How many components in POS vs Web? How many are truly used? This context would strengthen the credibility of the percentages.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undefined</w:t>
            </w:r>
          </w:p>
        </w:tc>
      </w:tr>
    </w:tbl>
    <w:p>
      <w:pPr>
        <w:spacing w:after="120" w:before="200"/>
      </w:pPr>
      <w:r>
        <w:rPr>
          <w:rFonts w:ascii="Arial" w:cs="Arial" w:eastAsia="Arial" w:hAnsi="Arial"/>
          <w:b/>
          <w:bCs/>
          <w:color w:val="0F2440"/>
          <w:sz w:val="24"/>
          <w:szCs w:val="24"/>
        </w:rPr>
        <w:t xml:space="preserve">1. [MEDIUM] Adoption metrics don't explain the measurement methodology</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We know 90% of POS and 70% of Web components are adopted, but how is 'adoption' measured? Is it (a) components included in production code? (b) designer's self-reported usage? (c) compile-time token resolution? Different measurement methods yield different credibility. For example, 'all components present in built app but team might override tokens' is different from 'developers actively using components from design system.'</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Slide 10 should clarify: 'Adoption measured as: Percentage of components used in production releases (built binaries for POS app, compiled web bundles). Non-adoption = custom components built locally instead of system component. Tracking based on artifact analysis (POS binary scans for component usage) and Web bundle analysis (token imports).' This transparency makes the metric verifiable.</w:t>
      </w:r>
    </w:p>
    <w:p>
      <w:pPr>
        <w:spacing w:after="120" w:before="200"/>
      </w:pPr>
      <w:r>
        <w:rPr>
          <w:rFonts w:ascii="Arial" w:cs="Arial" w:eastAsia="Arial" w:hAnsi="Arial"/>
          <w:b/>
          <w:bCs/>
          <w:color w:val="0F2440"/>
          <w:sz w:val="24"/>
          <w:szCs w:val="24"/>
        </w:rPr>
        <w:t xml:space="preserve">2. [MEDIUM] Before/After metrics exist but quantification not shown</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Slide 11 shows before/after comparison but specifics are vague. Example: did adoption take 3 months or 12 months to achieve 90%? What was the baseline before adoption effort (0%?)? How did velocity change?</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r>
    </w:p>
    <w:p>
      <w:pPr>
        <w:spacing w:after="120" w:before="200"/>
      </w:pPr>
      <w:r>
        <w:rPr>
          <w:rFonts w:ascii="Arial" w:cs="Arial" w:eastAsia="Arial" w:hAnsi="Arial"/>
          <w:b/>
          <w:bCs/>
          <w:color w:val="0F2440"/>
          <w:sz w:val="24"/>
          <w:szCs w:val="24"/>
        </w:rPr>
        <w:t xml:space="preserve">3. [LOW] No discussion of what caused 20% difference in adoption (POS 90% vs Web 70%)</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The case study explains that Web has more complex components (tables) so lower adoption makes sense. But it doesn't quantify: How many components in POS vs Web? How many are truly used? This context would strengthen the credibility of the percentages.</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2026-03-17T17:28:09.090Z</dcterms:created>
  <dcterms:modified xsi:type="dcterms:W3CDTF">2026-03-17T17:28:09.090Z</dcterms:modified>
</cp:coreProperties>
</file>

<file path=docProps/custom.xml><?xml version="1.0" encoding="utf-8"?>
<Properties xmlns="http://schemas.openxmlformats.org/officeDocument/2006/custom-properties" xmlns:vt="http://schemas.openxmlformats.org/officeDocument/2006/docPropsVTypes"/>
</file>