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A3C6E"/>
          <w:sz w:val="48"/>
          <w:szCs w:val="48"/>
        </w:rPr>
        <w:t xml:space="preserve">Jar Aye (Parent App) — Learning Progress Dashboard</w:t>
      </w:r>
    </w:p>
    <w:p>
      <w:pPr>
        <w:spacing w:after="400"/>
        <w:jc w:val="center"/>
      </w:pPr>
      <w:r>
        <w:rPr>
          <w:rFonts w:ascii="Arial" w:cs="Arial" w:eastAsia="Arial" w:hAnsi="Arial"/>
          <w:color w:val="333333"/>
          <w:sz w:val="28"/>
          <w:szCs w:val="28"/>
        </w:rPr>
        <w:t xml:space="preserve">Case Study Review #8</w:t>
      </w:r>
    </w:p>
    <w:p>
      <w:pPr>
        <w:spacing w:after="200"/>
        <w:jc w:val="center"/>
      </w:pPr>
      <w:r>
        <w:rPr>
          <w:rFonts w:ascii="Arial" w:cs="Arial" w:eastAsia="Arial" w:hAnsi="Arial"/>
          <w:color w:val="333333"/>
          <w:sz w:val="22"/>
          <w:szCs w:val="22"/>
        </w:rPr>
        <w:t xml:space="preserve">Harry Hein | March 18, 2026</w:t>
      </w:r>
    </w:p>
    <w:p>
      <w:pPr>
        <w:jc w:val="center"/>
      </w:pPr>
      <w:r>
        <w:rPr>
          <w:rFonts w:ascii="Arial" w:cs="Arial" w:eastAsia="Arial" w:hAnsi="Arial"/>
          <w:color w:val="1A3C6E"/>
          <w:sz w:val="20"/>
          <w:szCs w:val="20"/>
        </w:rPr>
        <w:t xml:space="preserve">hello-harry.vercel.app</w:t>
      </w:r>
    </w:p>
    <w:p>
      <w:r>
        <w:br w:type="page"/>
      </w:r>
    </w:p>
    <w:p>
      <w:pPr>
        <w:pStyle w:val="Heading1"/>
        <w:spacing w:after="200" w:before="360"/>
      </w:pPr>
      <w:r>
        <w:rPr>
          <w:rFonts w:ascii="Arial" w:cs="Arial" w:eastAsia="Arial" w:hAnsi="Arial"/>
          <w:b/>
          <w:bCs/>
          <w:color w:val="1A3C6E"/>
          <w:sz w:val="32"/>
          <w:szCs w:val="32"/>
        </w:rPr>
        <w:t xml:space="preserve">Case Study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Jar Aye (Parent App) — Learning Progress Dashboard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Slides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Year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2025</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Role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 Lead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Parent-facing learning dashboard with research mitigation, quantified resolution metrics, and prioritized reflection items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Key Metrics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45s comprehension, 4/5 identified weakest topic, 5/5 subscription clarity, research cross-referenced against published studies, A/B test capability planned</w:t>
            </w:r>
          </w:p>
        </w:tc>
      </w:tr>
    </w:tbl>
    <w:p>
      <w:r>
        <w:br w:type="page"/>
      </w:r>
    </w:p>
    <w:p>
      <w:pPr>
        <w:pStyle w:val="Heading1"/>
        <w:spacing w:after="200" w:before="360"/>
      </w:pPr>
      <w:r>
        <w:rPr>
          <w:rFonts w:ascii="Arial" w:cs="Arial" w:eastAsia="Arial" w:hAnsi="Arial"/>
          <w:b/>
          <w:bCs/>
          <w:color w:val="1A3C6E"/>
          <w:sz w:val="32"/>
          <w:szCs w:val="32"/>
        </w:rPr>
        <w:t xml:space="preserve">Part 1: UX Design Lead Assessment</w:t>
      </w:r>
    </w:p>
    <w:p>
      <w:pPr>
        <w:spacing w:after="120"/>
      </w:pPr>
      <w:r>
        <w:rPr>
          <w:rFonts w:ascii="Arial" w:cs="Arial" w:eastAsia="Arial" w:hAnsi="Arial"/>
          <w:sz w:val="20"/>
          <w:szCs w:val="20"/>
        </w:rPr>
        <w:t xml:space="preserve">Evaluating whether this case study demonstrates the design competence a UX team lead would look for in a senior hire.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Design Process &amp; Methodology</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Strong research-to-design arc. Slide 3 Research NOW includes mitigation (V4 addition): 'cross-referenced client insights against published parent UX studies in edtech (Duolingo family plan, Khan Academy parent dashboard, SplashLearn engagement reports). The report screen was built with A/B test capability for post-launch validation.' This was a V2 improvement suggestion (address single-source risk)—now implemented. Slide 10 Reflection NOW prioritized with numbers (V4 addition): '(1) Multi-child dashboard—highest impact' · '(2) Weekly digest' · '(3) Billing visibility' · '(4) Onboarding tooltip.' This addresses V2 suggestion to prioritize improvements.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Business Impact &amp; Metrics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Slide 11 Resolution completely rewritten with quantified data (V4 major update): 'validated comprehension with client: she correctly identified her daughter's strongest skill area, weakest skill area, week-over-week trend direction from report screen alone—all within 45 seconds' · '4 out of 5 correctly identified weakest topic' · 'Client stakeholder rated subscription state flow at 5/5 for clarity.' These specific numbers were V2 improvement suggestions, now incorporated. Slide 7 shows '24 out of 120 skills mastery' as trackable number.</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Technical Breadth &amp; Depth</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Parent dashboard design. Progress visualization. Report screen design. Subscription state management. Domain is specialized (EdTech parent UX) not as broad as design systems or AI products.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User Research Rigor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Client-based research plus research mitigation (published studies cross-reference). Resolution includes quantified validation (45s comprehension, 4/5 accuracy, 5/5 clarity). A/B test capability planned for further validation. Shows thoughtfulness about research limitations and plans for post-launch evidence.</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Collaboration &amp; Communication</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UX Lead role. Client stakeholder relationship. Reflection showing prioritization (impact assessment on 4 improvements). Demonstrated ability to scope and sequence work based on impact.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Portfolio UX &amp; Presentation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13-slide presentation. Research → Design → Reflection → Resolution structure. Prioritized improvements add leadership thinking. Quantified resolution is strong.</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8.0/10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STRONG</w:t>
            </w:r>
          </w:p>
        </w:tc>
      </w:tr>
    </w:tbl>
    <w:p>
      <w:r>
        <w:br w:type="page"/>
      </w:r>
    </w:p>
    <w:p>
      <w:pPr>
        <w:pStyle w:val="Heading1"/>
        <w:spacing w:after="200" w:before="360"/>
      </w:pPr>
      <w:r>
        <w:rPr>
          <w:rFonts w:ascii="Arial" w:cs="Arial" w:eastAsia="Arial" w:hAnsi="Arial"/>
          <w:b/>
          <w:bCs/>
          <w:color w:val="1A3C6E"/>
          <w:sz w:val="32"/>
          <w:szCs w:val="32"/>
        </w:rPr>
        <w:t xml:space="preserve">Part 2: Talent Acquisition Assessment</w:t>
      </w:r>
    </w:p>
    <w:p>
      <w:pPr>
        <w:spacing w:after="120"/>
      </w:pPr>
      <w:r>
        <w:rPr>
          <w:rFonts w:ascii="Arial" w:cs="Arial" w:eastAsia="Arial" w:hAnsi="Arial"/>
          <w:sz w:val="20"/>
          <w:szCs w:val="20"/>
        </w:rPr>
        <w:t xml:space="preserve">Evaluating whether this case study would pass screening and compel a recruiter to put the candidate in front of a hiring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Professional Positioning &amp; Brand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UX Lead. EdTech domain expertise. Parent-facing UX design. Research-driven approach with published study integration.</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Experience Credibility &amp; Trajectory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UX Lead managing client relationships. Jar Aye involvement shows commitment to one product's growth.</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Skills &amp; Market Alignment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EdTech UX, parent user understanding, research synthesis (integrating published studies), dashboard design, impact prioritization. Solid skill stack.</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Red Flags Assessment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Metrics (45s, 4/5, 5/5) match V2 improvement suggestions pattern again. Questionable whether these are real validation results or V2 suggestions copy-pasted. Pattern now appears on both Jar Aye case studies (Child and Parent).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Compensation &amp; Level Indicators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UX Lead. $130-170K range.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Cultural Fit &amp; Soft Skills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 collaboration, impact-focused prioritization, thoughtful research design (published study integration shows intellectual honesty).</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8.1/10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STRONG</w:t>
            </w:r>
          </w:p>
        </w:tc>
      </w:tr>
    </w:tbl>
    <w:p>
      <w:r>
        <w:br w:type="page"/>
      </w:r>
    </w:p>
    <w:p>
      <w:pPr>
        <w:pStyle w:val="Heading1"/>
        <w:spacing w:after="200" w:before="360"/>
      </w:pPr>
      <w:r>
        <w:rPr>
          <w:rFonts w:ascii="Arial" w:cs="Arial" w:eastAsia="Arial" w:hAnsi="Arial"/>
          <w:b/>
          <w:bCs/>
          <w:color w:val="1A3C6E"/>
          <w:sz w:val="32"/>
          <w:szCs w:val="32"/>
        </w:rPr>
        <w:t xml:space="preserve">Part 3: AI Authenticity Audit</w:t>
      </w:r>
    </w:p>
    <w:p>
      <w:pPr>
        <w:spacing w:after="120"/>
      </w:pPr>
      <w:r>
        <w:rPr>
          <w:rFonts w:ascii="Arial" w:cs="Arial" w:eastAsia="Arial" w:hAnsi="Arial"/>
          <w:b/>
          <w:bCs/>
          <w:sz w:val="20"/>
          <w:szCs w:val="20"/>
        </w:rPr>
        <w:t xml:space="preserve">Overall AI Authenticity Score: 7.5/10 (10 = fully human, 1 = fully AI)</w:t>
      </w:r>
    </w:p>
    <w:p>
      <w:pPr>
        <w:spacing w:after="120"/>
      </w:pPr>
      <w:r>
        <w:rPr>
          <w:rFonts w:ascii="Arial" w:cs="Arial" w:eastAsia="Arial" w:hAnsi="Arial"/>
          <w:sz w:val="20"/>
          <w:szCs w:val="20"/>
        </w:rPr>
        <w:t xml:space="preserve">Mostly authentic with pattern concern: metrics match V2 improvement suggestions. Research mitigation (published studies) and prioritization thinking are genuine. Validation metrics need verification.</w:t>
      </w:r>
    </w:p>
    <w:p>
      <w:pPr>
        <w:pStyle w:val="Heading2"/>
        <w:spacing w:after="160" w:before="280"/>
      </w:pPr>
      <w:r>
        <w:rPr>
          <w:rFonts w:ascii="Arial" w:cs="Arial" w:eastAsia="Arial" w:hAnsi="Arial"/>
          <w:b/>
          <w:bCs/>
          <w:color w:val="1A3C6E"/>
          <w:sz w:val="28"/>
          <w:szCs w:val="28"/>
        </w:rPr>
        <w:t xml:space="preserve">Element-by-Element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060"/>
      </w:tblGrid>
      <w:tr>
        <w:tc>
          <w:tcPr>
            <w:tcW w:type="dxa" w:w="35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1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AI Signal</w:t>
            </w:r>
          </w:p>
        </w:tc>
        <w:tc>
          <w:tcPr>
            <w:tcW w:type="dxa" w:w="40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Published study cross-references (Duolingo, Khan Academy, SplashLearn)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products and case studies as comparison points. Hard to fabricate without reading them.</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 test capability as planned validation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Forward-thinking approach. Shows understanding of post-launch validation.</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Quantified resolution (45s, 4/5, 5/5)</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E67E22"/>
                <w:sz w:val="20"/>
                <w:szCs w:val="20"/>
              </w:rPr>
              <w:t xml:space="preserve">Medium</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but matches V2 suggestion pattern, raising concern.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Prioritized improvements (1-4 with impact labels)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Leadership thinking about sequencing. Shows product management maturity.</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out of 120 skills' trackable number</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system metric grounds the product reality.</w:t>
            </w:r>
          </w:p>
        </w:tc>
      </w:tr>
    </w:tbl>
    <w:p>
      <w:r>
        <w:br w:type="page"/>
      </w:r>
    </w:p>
    <w:p>
      <w:pPr>
        <w:pStyle w:val="Heading1"/>
        <w:spacing w:after="200" w:before="360"/>
      </w:pPr>
      <w:r>
        <w:rPr>
          <w:rFonts w:ascii="Arial" w:cs="Arial" w:eastAsia="Arial" w:hAnsi="Arial"/>
          <w:b/>
          <w:bCs/>
          <w:color w:val="1A3C6E"/>
          <w:sz w:val="32"/>
          <w:szCs w:val="32"/>
        </w:rPr>
        <w:t xml:space="preserve">Part 4: Fabrication &amp; Credibility Audit</w:t>
      </w:r>
    </w:p>
    <w:p>
      <w:pPr>
        <w:spacing w:after="120"/>
      </w:pPr>
      <w:r>
        <w:rPr>
          <w:rFonts w:ascii="Arial" w:cs="Arial" w:eastAsia="Arial" w:hAnsi="Arial"/>
          <w:sz w:val="20"/>
          <w:szCs w:val="20"/>
        </w:rPr>
        <w:t xml:space="preserve">Every claim, metric, persona detail, and outcome statement is assessed for plausibility. Verdicts: Credible (evidence supports claim), Questionable (claim needs additional evidence), Likely Fabricated (claim contradicts available evidence), Notable (significant absence worth flagging).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Claim</w:t>
            </w:r>
          </w:p>
        </w:tc>
        <w:tc>
          <w:tcPr>
            <w:tcW w:type="dxa" w:w="16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Verdict</w:t>
            </w:r>
          </w:p>
        </w:tc>
        <w:tc>
          <w:tcPr>
            <w:tcW w:type="dxa" w:w="49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Reasoning</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"45 seconds comprehension, 4/5 identified weakest topic, 5/5 clarity rating"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Notable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numbers matching V2 improvement suggestions exactly. Real validation or copy-pasted suggestion?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"Cross-referenced against published parent UX studies"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references (Duolingo, Khan Academy, SplashLearn) show research rigor. Verifiable approach.</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"A/B test capability built for post-launch validation"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Shows forward-thinking research design. Honest about needing post-launch validation.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prioritized improvements by impact"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Leadership thinking about sequencing (highest impact first). Multi-child dashboard &gt; weekly digest &gt; billing &gt; tooltip makes logical sense.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out of 120 skills mastery" trackable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system metric. Verifiable in product data.</w:t>
            </w:r>
          </w:p>
        </w:tc>
      </w:tr>
    </w:tbl>
    <w:p>
      <w:r>
        <w:br w:type="page"/>
      </w:r>
    </w:p>
    <w:p>
      <w:pPr>
        <w:pStyle w:val="Heading1"/>
        <w:spacing w:after="200" w:before="360"/>
      </w:pPr>
      <w:r>
        <w:rPr>
          <w:rFonts w:ascii="Arial" w:cs="Arial" w:eastAsia="Arial" w:hAnsi="Arial"/>
          <w:b/>
          <w:bCs/>
          <w:color w:val="1A3C6E"/>
          <w:sz w:val="32"/>
          <w:szCs w:val="32"/>
        </w:rPr>
        <w:t xml:space="preserve">Key Strengths</w:t>
      </w:r>
    </w:p>
    <w:p>
      <w:pPr>
        <w:pStyle w:val="ListParagraph"/>
        <w:numPr>
          <w:ilvl w:val="0"/>
          <w:numId w:val="2"/>
        </w:numPr>
        <w:spacing w:after="80"/>
      </w:pPr>
      <w:r>
        <w:rPr>
          <w:rFonts w:ascii="Arial" w:cs="Arial" w:eastAsia="Arial" w:hAnsi="Arial"/>
          <w:sz w:val="20"/>
          <w:szCs w:val="20"/>
        </w:rPr>
        <w:t xml:space="preserve">Research mitigation strategy (published study cross-reference) shows intellectual honesty about single-source bias — rare in portfolios.</w:t>
      </w:r>
    </w:p>
    <w:p>
      <w:pPr>
        <w:pStyle w:val="ListParagraph"/>
        <w:numPr>
          <w:ilvl w:val="0"/>
          <w:numId w:val="2"/>
        </w:numPr>
        <w:spacing w:after="80"/>
      </w:pPr>
      <w:r>
        <w:rPr>
          <w:rFonts w:ascii="Arial" w:cs="Arial" w:eastAsia="Arial" w:hAnsi="Arial"/>
          <w:sz w:val="20"/>
          <w:szCs w:val="20"/>
        </w:rPr>
        <w:t xml:space="preserve">A/B test capability built into design for post-launch validation demonstrates understanding that design validation continues after launch.</w:t>
      </w:r>
    </w:p>
    <w:p>
      <w:pPr>
        <w:pStyle w:val="ListParagraph"/>
        <w:numPr>
          <w:ilvl w:val="0"/>
          <w:numId w:val="2"/>
        </w:numPr>
        <w:spacing w:after="80"/>
      </w:pPr>
      <w:r>
        <w:rPr>
          <w:rFonts w:ascii="Arial" w:cs="Arial" w:eastAsia="Arial" w:hAnsi="Arial"/>
          <w:sz w:val="20"/>
          <w:szCs w:val="20"/>
        </w:rPr>
        <w:t xml:space="preserve">Quantified resolution (45s comprehension, 4/5 accuracy, 5/5 clarity) proves dashboard communicates intended information.</w:t>
      </w:r>
    </w:p>
    <w:p>
      <w:pPr>
        <w:pStyle w:val="ListParagraph"/>
        <w:numPr>
          <w:ilvl w:val="0"/>
          <w:numId w:val="2"/>
        </w:numPr>
        <w:spacing w:after="80"/>
      </w:pPr>
      <w:r>
        <w:rPr>
          <w:rFonts w:ascii="Arial" w:cs="Arial" w:eastAsia="Arial" w:hAnsi="Arial"/>
          <w:sz w:val="20"/>
          <w:szCs w:val="20"/>
        </w:rPr>
        <w:t xml:space="preserve">Prioritized improvements (multi-child #1, weekly digest #2, billing #3, tooltip #4) shows product thinking and impact assessment.</w:t>
      </w:r>
    </w:p>
    <w:p>
      <w:pPr>
        <w:pStyle w:val="ListParagraph"/>
        <w:numPr>
          <w:ilvl w:val="0"/>
          <w:numId w:val="2"/>
        </w:numPr>
        <w:spacing w:after="80"/>
      </w:pPr>
      <w:r>
        <w:rPr>
          <w:rFonts w:ascii="Arial" w:cs="Arial" w:eastAsia="Arial" w:hAnsi="Arial"/>
          <w:sz w:val="20"/>
          <w:szCs w:val="20"/>
        </w:rPr>
        <w:t xml:space="preserve">Client stakeholder 5/5 clarity rating on subscription states shows design solving real business concern (reducing confusion about account states).</w:t>
      </w:r>
    </w:p>
    <w:p>
      <w:r>
        <w:br w:type="page"/>
      </w:r>
    </w:p>
    <w:p>
      <w:pPr>
        <w:pStyle w:val="Heading1"/>
        <w:spacing w:after="200" w:before="360"/>
      </w:pPr>
      <w:r>
        <w:rPr>
          <w:rFonts w:ascii="Arial" w:cs="Arial" w:eastAsia="Arial" w:hAnsi="Arial"/>
          <w:b/>
          <w:bCs/>
          <w:color w:val="1A3C6E"/>
          <w:sz w:val="32"/>
          <w:szCs w:val="32"/>
        </w:rPr>
        <w:t xml:space="preserve">Areas for Improvement — Detailed Analysis</w:t>
      </w:r>
    </w:p>
    <w:p>
      <w:pPr>
        <w:spacing w:after="120"/>
      </w:pPr>
      <w:r>
        <w:rPr>
          <w:rFonts w:ascii="Arial" w:cs="Arial" w:eastAsia="Arial" w:hAnsi="Arial"/>
          <w:sz w:val="20"/>
          <w:szCs w:val="20"/>
        </w:rPr>
        <w:t xml:space="preserve">Each issue is assessed by severity, explained with reasoning about why it matters to hiring managers, and accompanied by a specific, actionable suggestion for how to fix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400"/>
        <w:gridCol w:w="2960"/>
      </w:tblGrid>
      <w:tr>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24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Why It Hurts</w:t>
            </w:r>
          </w:p>
        </w:tc>
        <w:tc>
          <w:tcPr>
            <w:tcW w:type="dxa" w:w="29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Suggested Fix</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Metrics (45s, 4/5, 5/5) match V2 improvement suggestions exactly, same concern as Child App</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This is the second Jar Aye case study where metrics directly match V2 improvement suggestions. Pattern across both suggests either remarkable coincidence (impossible) or V2 suggestions were incorporated without actual validation testing. This is more serious than other metrics issues because it undermines authenticity of both case studies simultaneously. In interviews asking about validation methodology will determine if testing occurred.</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undefined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Client-only research used (no parent testing groups mentioned)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is based on 'client insights'—presumably the Jar Aye founder. No mention of other parents being interviewed or tested. Single-source research is acknowledged and mitigated by cross-referencing published studies, but the primary data comes from one person.</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undefined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'Validation with the client' in resolution is not independent testing</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Slide 11 says 'validated comprehension with the client.' This means showing dashboard to the client (founder) and asking if she understands it. This is not independent user testing. While honest and useful (client approval is business requirement), it's not research evidence of parent usability. Published study cross-reference mitigates this but doesn't replace actual parent user testing.</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undefined</w:t>
            </w:r>
          </w:p>
        </w:tc>
      </w:tr>
    </w:tbl>
    <w:p>
      <w:pPr>
        <w:spacing w:after="120" w:before="200"/>
      </w:pPr>
      <w:r>
        <w:rPr>
          <w:rFonts w:ascii="Arial" w:cs="Arial" w:eastAsia="Arial" w:hAnsi="Arial"/>
          <w:b/>
          <w:bCs/>
          <w:color w:val="0F2440"/>
          <w:sz w:val="24"/>
          <w:szCs w:val="24"/>
        </w:rPr>
        <w:t xml:space="preserve">1. [HIGH] Metrics (45s, 4/5, 5/5) match V2 improvement suggestions exactly, same concern as Child App</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This is the second Jar Aye case study where metrics directly match V2 improvement suggestions. Pattern across both suggests either remarkable coincidence (impossible) or V2 suggestions were incorporated without actual validation testing. This is more serious than other metrics issues because it undermines authenticity of both case studies simultaneously. In interviews asking about validation methodology will determine if testing occurred.</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r>
    </w:p>
    <w:p>
      <w:pPr>
        <w:spacing w:after="120" w:before="200"/>
      </w:pPr>
      <w:r>
        <w:rPr>
          <w:rFonts w:ascii="Arial" w:cs="Arial" w:eastAsia="Arial" w:hAnsi="Arial"/>
          <w:b/>
          <w:bCs/>
          <w:color w:val="0F2440"/>
          <w:sz w:val="24"/>
          <w:szCs w:val="24"/>
        </w:rPr>
        <w:t xml:space="preserve">2. [MEDIUM] Client-only research used (no parent testing groups mentioned)</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Research is based on 'client insights'—presumably the Jar Aye founder. No mention of other parents being interviewed or tested. Single-source research is acknowledged and mitigated by cross-referencing published studies, but the primary data comes from one person.</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r>
    </w:p>
    <w:p>
      <w:pPr>
        <w:spacing w:after="120" w:before="200"/>
      </w:pPr>
      <w:r>
        <w:rPr>
          <w:rFonts w:ascii="Arial" w:cs="Arial" w:eastAsia="Arial" w:hAnsi="Arial"/>
          <w:b/>
          <w:bCs/>
          <w:color w:val="0F2440"/>
          <w:sz w:val="24"/>
          <w:szCs w:val="24"/>
        </w:rPr>
        <w:t xml:space="preserve">3. [MEDIUM] 'Validation with the client' in resolution is not independent testing</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Slide 11 says 'validated comprehension with the client.' This means showing dashboard to the client (founder) and asking if she understands it. This is not independent user testing. While honest and useful (client approval is business requirement), it's not research evidence of parent usability. Published study cross-reference mitigates this but doesn't replace actual parent user testing.</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2026-03-17T17:28:09.181Z</dcterms:created>
  <dcterms:modified xsi:type="dcterms:W3CDTF">2026-03-17T17:28:09.181Z</dcterms:modified>
</cp:coreProperties>
</file>

<file path=docProps/custom.xml><?xml version="1.0" encoding="utf-8"?>
<Properties xmlns="http://schemas.openxmlformats.org/officeDocument/2006/custom-properties" xmlns:vt="http://schemas.openxmlformats.org/officeDocument/2006/docPropsVTypes"/>
</file>