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433"/>
      </w:tblGrid>
      <w:tr w:rsidR="00DD41B9" w:rsidRPr="00DD41B9" w:rsidTr="00F76AFD">
        <w:tc>
          <w:tcPr>
            <w:tcW w:w="1809" w:type="dxa"/>
          </w:tcPr>
          <w:p w:rsidR="00D14540" w:rsidRPr="00DD41B9" w:rsidRDefault="00D14540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Peltier</w:t>
            </w:r>
            <w:proofErr w:type="spellEnd"/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 xml:space="preserve"> et al., 2021</w:t>
            </w:r>
          </w:p>
        </w:tc>
        <w:tc>
          <w:tcPr>
            <w:tcW w:w="7433" w:type="dxa"/>
          </w:tcPr>
          <w:p w:rsidR="00D14540" w:rsidRPr="00DD41B9" w:rsidRDefault="00D14540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https://www.sciencedirect.com/science/article/pii/S0742051X2100192X#bib9</w:t>
            </w:r>
          </w:p>
        </w:tc>
      </w:tr>
      <w:tr w:rsidR="00DD41B9" w:rsidRPr="00DD41B9" w:rsidTr="00F76AFD">
        <w:tc>
          <w:tcPr>
            <w:tcW w:w="1809" w:type="dxa"/>
          </w:tcPr>
          <w:p w:rsidR="00D14540" w:rsidRPr="00DD41B9" w:rsidRDefault="00F76AFD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</w:rPr>
              <w:t>Ryazanova, Semak and Kazakova, 2021</w:t>
            </w:r>
          </w:p>
        </w:tc>
        <w:tc>
          <w:tcPr>
            <w:tcW w:w="7433" w:type="dxa"/>
          </w:tcPr>
          <w:p w:rsidR="00D14540" w:rsidRPr="00DD41B9" w:rsidRDefault="00F76AFD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https://www.e3s-conferences.org/articles/e3sconf/abs/2021/41/e3sconf_apeem2021_07001/e3sconf_apeem2021_07001.html</w:t>
            </w:r>
          </w:p>
        </w:tc>
      </w:tr>
      <w:tr w:rsidR="00DD41B9" w:rsidRPr="00DD41B9" w:rsidTr="00F76AFD">
        <w:tc>
          <w:tcPr>
            <w:tcW w:w="1809" w:type="dxa"/>
          </w:tcPr>
          <w:p w:rsidR="00D14540" w:rsidRPr="00DD41B9" w:rsidRDefault="008F146B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val="en-US"/>
              </w:rPr>
              <w:t>Richardson, 2015</w:t>
            </w:r>
          </w:p>
        </w:tc>
        <w:tc>
          <w:tcPr>
            <w:tcW w:w="7433" w:type="dxa"/>
          </w:tcPr>
          <w:p w:rsidR="00D14540" w:rsidRPr="00DD41B9" w:rsidRDefault="008F146B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https://tandfonline.com/doi/full/10.1080/02602938.2014.919628</w:t>
            </w:r>
          </w:p>
        </w:tc>
      </w:tr>
      <w:tr w:rsidR="00DD41B9" w:rsidRPr="00DD41B9" w:rsidTr="00F76AFD">
        <w:tc>
          <w:tcPr>
            <w:tcW w:w="1809" w:type="dxa"/>
          </w:tcPr>
          <w:p w:rsidR="00D14540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sdt>
              <w:sdtPr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id w:val="974880509"/>
                <w:citation/>
              </w:sdtPr>
              <w:sdtEndPr/>
              <w:sdtContent>
                <w:r w:rsidR="00E70C1D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E70C1D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instrText xml:space="preserve"> CITATION Sta79 \l 1033 </w:instrText>
                </w:r>
                <w:r w:rsidR="00E70C1D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E70C1D" w:rsidRPr="00DD41B9">
                  <w:rPr>
                    <w:rFonts w:asciiTheme="majorBidi" w:hAnsiTheme="majorBidi" w:cstheme="majorBidi"/>
                    <w:noProof/>
                    <w:color w:val="000000" w:themeColor="text1"/>
                    <w:sz w:val="24"/>
                    <w:szCs w:val="24"/>
                  </w:rPr>
                  <w:t>(Stanton, 1979)</w:t>
                </w:r>
                <w:r w:rsidR="00E70C1D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D14540" w:rsidRPr="00DD41B9" w:rsidRDefault="00E70C1D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https://www-jstor-org.hwu-ezproxy.idm.oclc.org/stable/1981340?sid=primo&amp;origin=crossref&amp;seq=1</w:t>
            </w:r>
          </w:p>
        </w:tc>
      </w:tr>
      <w:tr w:rsidR="00DD41B9" w:rsidRPr="00DD41B9" w:rsidTr="00F76AFD">
        <w:tc>
          <w:tcPr>
            <w:tcW w:w="1809" w:type="dxa"/>
          </w:tcPr>
          <w:p w:rsidR="00D14540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sdt>
              <w:sdtPr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id w:val="579716704"/>
                <w:citation/>
              </w:sdtPr>
              <w:sdtEndPr/>
              <w:sdtContent>
                <w:r w:rsidR="00A81B82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A81B82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instrText xml:space="preserve"> CITATION Mil80 \l 1033 </w:instrText>
                </w:r>
                <w:r w:rsidR="00A81B82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A81B82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t>(Millman and Mitchell, 1980)</w:t>
                </w:r>
                <w:r w:rsidR="00A81B82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D14540" w:rsidRPr="00DD41B9" w:rsidRDefault="00A81B82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https://www-jstor-org.hwu-ezproxy.idm.oclc.org/stable/1434677</w:t>
            </w:r>
          </w:p>
        </w:tc>
      </w:tr>
      <w:tr w:rsidR="00DD41B9" w:rsidRPr="00DD41B9" w:rsidTr="00F76AFD">
        <w:tc>
          <w:tcPr>
            <w:tcW w:w="1809" w:type="dxa"/>
          </w:tcPr>
          <w:p w:rsidR="00D14540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sdt>
              <w:sdtPr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id w:val="-242411092"/>
                <w:citation/>
              </w:sdtPr>
              <w:sdtEndPr/>
              <w:sdtContent>
                <w:r w:rsidR="006006D9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6006D9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Bas71 \l 1033 </w:instrText>
                </w:r>
                <w:r w:rsidR="006006D9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6006D9" w:rsidRPr="00DD41B9">
                  <w:rPr>
                    <w:rFonts w:asciiTheme="majorBidi" w:hAnsiTheme="majorBidi" w:cstheme="majorBidi"/>
                    <w:noProof/>
                    <w:color w:val="000000" w:themeColor="text1"/>
                    <w:sz w:val="24"/>
                    <w:szCs w:val="24"/>
                    <w:lang w:val="en-US"/>
                  </w:rPr>
                  <w:t>(Bassey, 1971)</w:t>
                </w:r>
                <w:r w:rsidR="006006D9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D14540" w:rsidRPr="00DD41B9" w:rsidRDefault="006006D9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https://files.eric.ed.gov/fulltext/ED059654.pdf</w:t>
            </w:r>
          </w:p>
        </w:tc>
      </w:tr>
      <w:tr w:rsidR="00DD41B9" w:rsidRPr="00DD41B9" w:rsidTr="00F76AFD">
        <w:tc>
          <w:tcPr>
            <w:tcW w:w="1809" w:type="dxa"/>
          </w:tcPr>
          <w:p w:rsidR="00D14540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sdt>
              <w:sdtPr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id w:val="-1689206896"/>
                <w:citation/>
              </w:sdtPr>
              <w:sdtEndPr/>
              <w:sdtContent>
                <w:r w:rsidR="001430F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1430F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Bri02 \l 1033 </w:instrText>
                </w:r>
                <w:r w:rsidR="001430F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1430FF" w:rsidRPr="00DD41B9">
                  <w:rPr>
                    <w:rFonts w:asciiTheme="majorBidi" w:hAnsiTheme="majorBidi" w:cstheme="majorBidi"/>
                    <w:noProof/>
                    <w:color w:val="000000" w:themeColor="text1"/>
                    <w:sz w:val="24"/>
                    <w:szCs w:val="24"/>
                    <w:lang w:val="en-US"/>
                  </w:rPr>
                  <w:t xml:space="preserve"> (Bridges et al., 2002)</w:t>
                </w:r>
                <w:r w:rsidR="001430F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D14540" w:rsidRPr="00DD41B9" w:rsidRDefault="001430FF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https://www.tandfonline.com/doi/abs/10.1080/02602930120105045</w:t>
            </w:r>
          </w:p>
        </w:tc>
      </w:tr>
      <w:tr w:rsidR="00DD41B9" w:rsidRPr="00DD41B9" w:rsidTr="00F76AFD">
        <w:tc>
          <w:tcPr>
            <w:tcW w:w="1809" w:type="dxa"/>
          </w:tcPr>
          <w:p w:rsidR="00D14540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sdt>
              <w:sdtPr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id w:val="841827225"/>
                <w:citation/>
              </w:sdtPr>
              <w:sdtEndPr/>
              <w:sdtContent>
                <w:r w:rsidR="00F6490E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F6490E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Yor00 \l 1033 </w:instrText>
                </w:r>
                <w:r w:rsidR="00F6490E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F6490E" w:rsidRPr="00DD41B9">
                  <w:rPr>
                    <w:rFonts w:asciiTheme="majorBidi" w:hAnsiTheme="majorBidi" w:cstheme="majorBidi"/>
                    <w:noProof/>
                    <w:color w:val="000000" w:themeColor="text1"/>
                    <w:sz w:val="24"/>
                    <w:szCs w:val="24"/>
                    <w:lang w:val="en-US"/>
                  </w:rPr>
                  <w:t>(Yorke, Bridges and Woolf, 2000)</w:t>
                </w:r>
                <w:r w:rsidR="00F6490E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D14540" w:rsidRPr="00DD41B9" w:rsidRDefault="00F6490E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https://journals.sagepub.com/doi/epdf/10.1177/1469787400001001002</w:t>
            </w:r>
          </w:p>
        </w:tc>
      </w:tr>
      <w:tr w:rsidR="00A4790F" w:rsidRPr="00DD41B9" w:rsidTr="00F76AFD">
        <w:tc>
          <w:tcPr>
            <w:tcW w:w="1809" w:type="dxa"/>
          </w:tcPr>
          <w:p w:rsidR="00A4790F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id w:val="2001992839"/>
                <w:citation/>
              </w:sdtPr>
              <w:sdtEndPr/>
              <w:sdtContent>
                <w:r w:rsidR="00A4790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A4790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Gib97 \l 1033 </w:instrText>
                </w:r>
                <w:r w:rsidR="00A4790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A4790F" w:rsidRPr="00DD41B9">
                  <w:rPr>
                    <w:rFonts w:asciiTheme="majorBidi" w:hAnsiTheme="majorBidi" w:cstheme="majorBidi"/>
                    <w:noProof/>
                    <w:color w:val="000000" w:themeColor="text1"/>
                    <w:sz w:val="24"/>
                    <w:szCs w:val="24"/>
                    <w:lang w:val="en-US"/>
                  </w:rPr>
                  <w:t>(Gibbs and Lucas, 1997)</w:t>
                </w:r>
                <w:r w:rsidR="00A4790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A4790F" w:rsidRPr="00DD41B9" w:rsidRDefault="00A4790F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https://www.tandfonline.com/doi/epdf/10.1080/0309877970210204?needAccess=true</w:t>
            </w:r>
          </w:p>
        </w:tc>
      </w:tr>
      <w:tr w:rsidR="00A4790F" w:rsidRPr="00DD41B9" w:rsidTr="00F76AFD">
        <w:tc>
          <w:tcPr>
            <w:tcW w:w="1809" w:type="dxa"/>
          </w:tcPr>
          <w:p w:rsidR="00A4790F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color w:val="000000" w:themeColor="text1"/>
                  <w:sz w:val="24"/>
                  <w:szCs w:val="24"/>
                </w:rPr>
                <w:id w:val="-1361963588"/>
                <w:citation/>
              </w:sdtPr>
              <w:sdtEndPr/>
              <w:sdtContent>
                <w:r w:rsidR="00A4790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A4790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Tho10 \l 1033 </w:instrText>
                </w:r>
                <w:r w:rsidR="00A4790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A4790F" w:rsidRPr="00DD41B9">
                  <w:rPr>
                    <w:rFonts w:asciiTheme="majorBidi" w:hAnsiTheme="majorBidi" w:cstheme="majorBidi"/>
                    <w:noProof/>
                    <w:color w:val="000000" w:themeColor="text1"/>
                    <w:sz w:val="24"/>
                    <w:szCs w:val="24"/>
                    <w:lang w:val="en-US"/>
                  </w:rPr>
                  <w:t>(Thomlinson, Challis and Robinson, 2010)</w:t>
                </w:r>
                <w:r w:rsidR="00A4790F" w:rsidRPr="00DD41B9">
                  <w:rPr>
                    <w:rFonts w:asciiTheme="majorBidi" w:hAnsiTheme="majorBidi" w:cstheme="majorBidi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A4790F" w:rsidRPr="00DD41B9" w:rsidRDefault="00A4790F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D41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https://www.researchgate.net/publication/275107018_Coursework_what_should_be_its_nature_and_assessment_weight</w:t>
            </w:r>
          </w:p>
        </w:tc>
      </w:tr>
      <w:tr w:rsidR="00A4790F" w:rsidRPr="00DD41B9" w:rsidTr="00F76AFD">
        <w:tc>
          <w:tcPr>
            <w:tcW w:w="1809" w:type="dxa"/>
          </w:tcPr>
          <w:p w:rsidR="00A4790F" w:rsidRPr="00DD41B9" w:rsidRDefault="008D383D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C0B4B">
              <w:rPr>
                <w:noProof/>
                <w:lang w:val="en-US"/>
              </w:rPr>
              <w:t>French, Dickerson and Mulder, 2023</w:t>
            </w:r>
          </w:p>
        </w:tc>
        <w:tc>
          <w:tcPr>
            <w:tcW w:w="7433" w:type="dxa"/>
          </w:tcPr>
          <w:p w:rsidR="00A4790F" w:rsidRPr="00DD41B9" w:rsidRDefault="00CE15E8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CE15E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https://link.springer.com/article/10.1007/s10734-023-01148-z</w:t>
            </w:r>
          </w:p>
        </w:tc>
      </w:tr>
      <w:tr w:rsidR="00A4790F" w:rsidRPr="00DD41B9" w:rsidTr="00F76AFD">
        <w:tc>
          <w:tcPr>
            <w:tcW w:w="1809" w:type="dxa"/>
          </w:tcPr>
          <w:p w:rsidR="00A4790F" w:rsidRPr="00DD41B9" w:rsidRDefault="008D383D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598C">
              <w:rPr>
                <w:noProof/>
                <w:lang w:val="en-US"/>
              </w:rPr>
              <w:t>(Sin, Soares and Tavares, 2021</w:t>
            </w:r>
          </w:p>
        </w:tc>
        <w:tc>
          <w:tcPr>
            <w:tcW w:w="7433" w:type="dxa"/>
          </w:tcPr>
          <w:p w:rsidR="00A4790F" w:rsidRPr="00DD41B9" w:rsidRDefault="00CE15E8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CE15E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https://www.tandfonline.com/doi/full/10.1080/07294360.2020.1807918</w:t>
            </w:r>
          </w:p>
        </w:tc>
      </w:tr>
      <w:tr w:rsidR="00A4790F" w:rsidRPr="00DD41B9" w:rsidTr="00F76AFD">
        <w:tc>
          <w:tcPr>
            <w:tcW w:w="1809" w:type="dxa"/>
          </w:tcPr>
          <w:p w:rsidR="00A4790F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id w:val="653262125"/>
                <w:citation/>
              </w:sdtPr>
              <w:sdtEndPr/>
              <w:sdtContent>
                <w:r w:rsidR="008D383D">
                  <w:fldChar w:fldCharType="begin"/>
                </w:r>
                <w:r w:rsidR="008D383D">
                  <w:instrText xml:space="preserve"> CITATION Tua21 \l 1033 </w:instrText>
                </w:r>
                <w:r w:rsidR="008D383D">
                  <w:fldChar w:fldCharType="separate"/>
                </w:r>
                <w:r w:rsidR="008D383D">
                  <w:rPr>
                    <w:noProof/>
                  </w:rPr>
                  <w:t>(Tuah and Naing, 2021)</w:t>
                </w:r>
                <w:r w:rsidR="008D383D"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A4790F" w:rsidRPr="00DD41B9" w:rsidRDefault="00CE15E8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CE15E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https://he02.tci-thaijo.org/index.php/sirirajmedj/article/view/246342/167852</w:t>
            </w:r>
          </w:p>
        </w:tc>
      </w:tr>
      <w:tr w:rsidR="00A4790F" w:rsidRPr="00DD41B9" w:rsidTr="00F76AFD">
        <w:tc>
          <w:tcPr>
            <w:tcW w:w="1809" w:type="dxa"/>
          </w:tcPr>
          <w:p w:rsidR="00A4790F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30"/>
                  <w:szCs w:val="30"/>
                  <w:shd w:val="clear" w:color="auto" w:fill="FFFFFF"/>
                </w:rPr>
                <w:id w:val="212702082"/>
                <w:citation/>
              </w:sdtPr>
              <w:sdtEndPr/>
              <w:sdtContent>
                <w:r w:rsidR="00B14CA8">
                  <w:rPr>
                    <w:rFonts w:ascii="Arial" w:hAnsi="Arial" w:cs="Arial"/>
                    <w:sz w:val="30"/>
                    <w:szCs w:val="30"/>
                    <w:shd w:val="clear" w:color="auto" w:fill="FFFFFF"/>
                  </w:rPr>
                  <w:fldChar w:fldCharType="begin"/>
                </w:r>
                <w:r w:rsidR="00B14CA8">
                  <w:rPr>
                    <w:rFonts w:ascii="Arial" w:hAnsi="Arial" w:cs="Arial"/>
                    <w:sz w:val="30"/>
                    <w:szCs w:val="30"/>
                    <w:shd w:val="clear" w:color="auto" w:fill="FFFFFF"/>
                  </w:rPr>
                  <w:instrText xml:space="preserve"> CITATION Mir22 \l 1033 </w:instrText>
                </w:r>
                <w:r w:rsidR="00B14CA8">
                  <w:rPr>
                    <w:rFonts w:ascii="Arial" w:hAnsi="Arial" w:cs="Arial"/>
                    <w:sz w:val="30"/>
                    <w:szCs w:val="30"/>
                    <w:shd w:val="clear" w:color="auto" w:fill="FFFFFF"/>
                  </w:rPr>
                  <w:fldChar w:fldCharType="separate"/>
                </w:r>
                <w:r w:rsidR="00B14CA8" w:rsidRPr="007E498E">
                  <w:rPr>
                    <w:rFonts w:ascii="Arial" w:hAnsi="Arial" w:cs="Arial"/>
                    <w:noProof/>
                    <w:sz w:val="30"/>
                    <w:szCs w:val="30"/>
                    <w:shd w:val="clear" w:color="auto" w:fill="FFFFFF"/>
                  </w:rPr>
                  <w:t>(Mirsharapovna et al., 2022)</w:t>
                </w:r>
                <w:r w:rsidR="00B14CA8">
                  <w:rPr>
                    <w:rFonts w:ascii="Arial" w:hAnsi="Arial" w:cs="Arial"/>
                    <w:sz w:val="30"/>
                    <w:szCs w:val="30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A4790F" w:rsidRPr="00DD41B9" w:rsidRDefault="00B14CA8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B14CA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https://zienjournals.com/index.php/tjm/article/view/2658/2229</w:t>
            </w:r>
          </w:p>
        </w:tc>
      </w:tr>
      <w:tr w:rsidR="00A4790F" w:rsidRPr="00DD41B9" w:rsidTr="00F76AFD">
        <w:tc>
          <w:tcPr>
            <w:tcW w:w="1809" w:type="dxa"/>
          </w:tcPr>
          <w:p w:rsidR="00A4790F" w:rsidRPr="00DD41B9" w:rsidRDefault="007077C7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sdt>
              <w:sdtPr>
                <w:id w:val="-2143498017"/>
                <w:citation/>
              </w:sdtPr>
              <w:sdtEndPr/>
              <w:sdtContent>
                <w:r w:rsidR="002217D8">
                  <w:fldChar w:fldCharType="begin"/>
                </w:r>
                <w:r w:rsidR="002217D8">
                  <w:instrText xml:space="preserve">CITATION Sel20 \l 1033 </w:instrText>
                </w:r>
                <w:r w:rsidR="002217D8">
                  <w:fldChar w:fldCharType="separate"/>
                </w:r>
                <w:r w:rsidR="002217D8">
                  <w:rPr>
                    <w:noProof/>
                  </w:rPr>
                  <w:t>(Selwyn, 2020)</w:t>
                </w:r>
                <w:r w:rsidR="002217D8"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A4790F" w:rsidRPr="00DD41B9" w:rsidRDefault="002217D8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2217D8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https://books.google.ae/books?hl=en&amp;lr=&amp;id=mureDwAAQBAJ&amp;oi=fnd&amp;pg=PT6&amp;dq=Technology+in+Education&amp;ots=KhEOSCyd6c&amp;sig=c_JD3aWGeaIks-EdvQ2jlnjjLos&amp;redir_esc=y#v=onepage&amp;q=Technology%20in%20Education&amp;f=false</w:t>
            </w:r>
          </w:p>
        </w:tc>
      </w:tr>
      <w:tr w:rsidR="002217D8" w:rsidRPr="00DD41B9" w:rsidTr="00F76AFD">
        <w:tc>
          <w:tcPr>
            <w:tcW w:w="1809" w:type="dxa"/>
          </w:tcPr>
          <w:p w:rsidR="002217D8" w:rsidRDefault="007077C7" w:rsidP="00DD41B9">
            <w:sdt>
              <w:sdtPr>
                <w:rPr>
                  <w:rFonts w:ascii="Arial" w:hAnsi="Arial" w:cs="Arial"/>
                  <w:color w:val="333333"/>
                  <w:shd w:val="clear" w:color="auto" w:fill="FFFFFF"/>
                </w:rPr>
                <w:id w:val="28376601"/>
                <w:citation/>
              </w:sdtPr>
              <w:sdtEndPr/>
              <w:sdtContent>
                <w:r w:rsidR="00527AB0">
                  <w:rPr>
                    <w:rFonts w:ascii="Arial" w:hAnsi="Arial" w:cs="Arial"/>
                    <w:color w:val="333333"/>
                    <w:shd w:val="clear" w:color="auto" w:fill="FFFFFF"/>
                  </w:rPr>
                  <w:fldChar w:fldCharType="begin"/>
                </w:r>
                <w:r w:rsidR="00527AB0">
                  <w:rPr>
                    <w:rFonts w:ascii="Arial" w:hAnsi="Arial" w:cs="Arial"/>
                    <w:color w:val="333333"/>
                    <w:shd w:val="clear" w:color="auto" w:fill="FFFFFF"/>
                  </w:rPr>
                  <w:instrText xml:space="preserve"> CITATION Sha231 \l 1033 </w:instrText>
                </w:r>
                <w:r w:rsidR="00527AB0">
                  <w:rPr>
                    <w:rFonts w:ascii="Arial" w:hAnsi="Arial" w:cs="Arial"/>
                    <w:color w:val="333333"/>
                    <w:shd w:val="clear" w:color="auto" w:fill="FFFFFF"/>
                  </w:rPr>
                  <w:fldChar w:fldCharType="separate"/>
                </w:r>
                <w:r w:rsidR="00527AB0" w:rsidRPr="00B60875">
                  <w:rPr>
                    <w:rFonts w:ascii="Arial" w:hAnsi="Arial" w:cs="Arial"/>
                    <w:noProof/>
                    <w:color w:val="333333"/>
                    <w:shd w:val="clear" w:color="auto" w:fill="FFFFFF"/>
                  </w:rPr>
                  <w:t>(Sharma et al., 2023)</w:t>
                </w:r>
                <w:r w:rsidR="00527AB0">
                  <w:rPr>
                    <w:rFonts w:ascii="Arial" w:hAnsi="Arial" w:cs="Arial"/>
                    <w:color w:val="333333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2217D8" w:rsidRPr="002217D8" w:rsidRDefault="00527AB0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527AB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https://journals.sagepub.com/doi/full/10.1177/20427530231221073</w:t>
            </w:r>
          </w:p>
        </w:tc>
      </w:tr>
      <w:tr w:rsidR="002217D8" w:rsidRPr="00DD41B9" w:rsidTr="00F76AFD">
        <w:tc>
          <w:tcPr>
            <w:tcW w:w="1809" w:type="dxa"/>
          </w:tcPr>
          <w:p w:rsidR="002217D8" w:rsidRDefault="007077C7" w:rsidP="00DD41B9">
            <w:sdt>
              <w:sdtPr>
                <w:id w:val="-175274411"/>
                <w:citation/>
              </w:sdtPr>
              <w:sdtEndPr/>
              <w:sdtContent>
                <w:r w:rsidR="001975EB">
                  <w:fldChar w:fldCharType="begin"/>
                </w:r>
                <w:r w:rsidR="001975EB">
                  <w:instrText xml:space="preserve"> CITATION Sha232 \l 1033 </w:instrText>
                </w:r>
                <w:r w:rsidR="001975EB">
                  <w:fldChar w:fldCharType="separate"/>
                </w:r>
                <w:r w:rsidR="001975EB">
                  <w:rPr>
                    <w:noProof/>
                  </w:rPr>
                  <w:t>(Shaturaev, 2023)</w:t>
                </w:r>
                <w:r w:rsidR="001975EB"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2217D8" w:rsidRPr="002217D8" w:rsidRDefault="001975EB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1975EB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researchgate.net/profile/Jakhongir-Shaturaev/publication/360217448_Economies_and_Management_as_A_Result_of_The_Fourth_Industrial_Revolution_An_Education_Perspective/links/6268eb098cb84a40ac8e6b15/Economies-and-Management-as-A-Result-of-The-Fourth-Industrial-Revolution-An-Education-Perspective.pdf</w:t>
            </w:r>
          </w:p>
        </w:tc>
      </w:tr>
      <w:tr w:rsidR="002217D8" w:rsidRPr="00DD41B9" w:rsidTr="00F76AFD">
        <w:tc>
          <w:tcPr>
            <w:tcW w:w="1809" w:type="dxa"/>
          </w:tcPr>
          <w:p w:rsidR="00872DDC" w:rsidRDefault="007077C7" w:rsidP="00872DDC">
            <w:pPr>
              <w:spacing w:after="200" w:line="276" w:lineRule="auto"/>
            </w:pPr>
            <w:sdt>
              <w:sdtPr>
                <w:id w:val="-60722820"/>
                <w:citation/>
              </w:sdtPr>
              <w:sdtEndPr/>
              <w:sdtContent>
                <w:r w:rsidR="00872DDC">
                  <w:fldChar w:fldCharType="begin"/>
                </w:r>
                <w:r w:rsidR="00872DDC">
                  <w:instrText xml:space="preserve"> CITATION Zaw18 \l 1033 </w:instrText>
                </w:r>
                <w:r w:rsidR="00872DDC">
                  <w:fldChar w:fldCharType="separate"/>
                </w:r>
                <w:r w:rsidR="00872DDC">
                  <w:rPr>
                    <w:noProof/>
                  </w:rPr>
                  <w:t>(Zawacki-Richter and Latchem, 2018)</w:t>
                </w:r>
                <w:r w:rsidR="00872DDC">
                  <w:fldChar w:fldCharType="end"/>
                </w:r>
              </w:sdtContent>
            </w:sdt>
          </w:p>
          <w:p w:rsidR="002217D8" w:rsidRDefault="002217D8" w:rsidP="00DD41B9"/>
        </w:tc>
        <w:tc>
          <w:tcPr>
            <w:tcW w:w="7433" w:type="dxa"/>
          </w:tcPr>
          <w:p w:rsidR="002217D8" w:rsidRPr="002217D8" w:rsidRDefault="00872DDC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872DDC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https://www.sciencedirect.com/science/article/pii/S0360131518300812</w:t>
            </w:r>
          </w:p>
        </w:tc>
      </w:tr>
      <w:tr w:rsidR="002217D8" w:rsidRPr="00DD41B9" w:rsidTr="00F76AFD">
        <w:tc>
          <w:tcPr>
            <w:tcW w:w="1809" w:type="dxa"/>
          </w:tcPr>
          <w:p w:rsidR="002217D8" w:rsidRDefault="007077C7" w:rsidP="00DD41B9">
            <w:sdt>
              <w:sdtPr>
                <w:id w:val="-1861196135"/>
                <w:citation/>
              </w:sdtPr>
              <w:sdtEndPr/>
              <w:sdtContent>
                <w:r w:rsidR="00D9719A">
                  <w:fldChar w:fldCharType="begin"/>
                </w:r>
                <w:r w:rsidR="00D9719A">
                  <w:rPr>
                    <w:lang w:val="en-US"/>
                  </w:rPr>
                  <w:instrText xml:space="preserve"> CITATION Kay19 \l 1033 </w:instrText>
                </w:r>
                <w:r w:rsidR="00D9719A">
                  <w:fldChar w:fldCharType="separate"/>
                </w:r>
                <w:r w:rsidR="00D9719A" w:rsidRPr="00D9719A">
                  <w:rPr>
                    <w:noProof/>
                    <w:lang w:val="en-US"/>
                  </w:rPr>
                  <w:t>(Kayembe and Nel-Sanders, 2019)</w:t>
                </w:r>
                <w:r w:rsidR="00D9719A"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2217D8" w:rsidRPr="002217D8" w:rsidRDefault="00D9719A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D9719A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https://journals.co.za/doi/abs/10.10520/EJC-19605d342e</w:t>
            </w:r>
          </w:p>
        </w:tc>
      </w:tr>
      <w:tr w:rsidR="00F65552" w:rsidRPr="00DD41B9" w:rsidTr="00F76AFD">
        <w:tc>
          <w:tcPr>
            <w:tcW w:w="1809" w:type="dxa"/>
          </w:tcPr>
          <w:p w:rsidR="00F65552" w:rsidRDefault="00F65552" w:rsidP="00DD41B9">
            <w:sdt>
              <w:sdtPr>
                <w:id w:val="-132450774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Sce19 \l 1033 </w:instrText>
                </w:r>
                <w:r>
                  <w:fldChar w:fldCharType="separate"/>
                </w:r>
                <w:r w:rsidRPr="00F65552">
                  <w:rPr>
                    <w:noProof/>
                    <w:lang w:val="en-US"/>
                  </w:rPr>
                  <w:t>(Scepanovič, 2019)</w:t>
                </w:r>
                <w: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F65552" w:rsidRPr="00D9719A" w:rsidRDefault="00F65552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F6555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https://ieeexplore.ieee.org/abstract/document/8760114</w:t>
            </w:r>
          </w:p>
        </w:tc>
      </w:tr>
      <w:tr w:rsidR="00F65552" w:rsidRPr="00DD41B9" w:rsidTr="00F76AFD">
        <w:tc>
          <w:tcPr>
            <w:tcW w:w="1809" w:type="dxa"/>
          </w:tcPr>
          <w:p w:rsidR="00F65552" w:rsidRDefault="00773A84" w:rsidP="00DD41B9">
            <w:sdt>
              <w:sdtPr>
                <w:rPr>
                  <w:rFonts w:ascii="Georgia" w:eastAsia="Times New Roman" w:hAnsi="Georgia" w:cs="Times New Roman"/>
                  <w:color w:val="333333"/>
                  <w:sz w:val="27"/>
                  <w:szCs w:val="27"/>
                  <w:lang w:eastAsia="en-GB"/>
                </w:rPr>
                <w:id w:val="-1218116733"/>
                <w:citation/>
              </w:sdtPr>
              <w:sdtContent>
                <w:r>
                  <w:rPr>
                    <w:rFonts w:ascii="Georgia" w:eastAsia="Times New Roman" w:hAnsi="Georgia" w:cs="Times New Roman"/>
                    <w:color w:val="333333"/>
                    <w:sz w:val="27"/>
                    <w:szCs w:val="27"/>
                    <w:lang w:eastAsia="en-GB"/>
                  </w:rPr>
                  <w:fldChar w:fldCharType="begin"/>
                </w:r>
                <w:r>
                  <w:rPr>
                    <w:rFonts w:ascii="Georgia" w:eastAsia="Times New Roman" w:hAnsi="Georgia" w:cs="Times New Roman"/>
                    <w:color w:val="333333"/>
                    <w:sz w:val="27"/>
                    <w:szCs w:val="27"/>
                    <w:lang w:eastAsia="en-GB"/>
                  </w:rPr>
                  <w:instrText xml:space="preserve"> CITATION Mul21 \l 1033 </w:instrText>
                </w:r>
                <w:r>
                  <w:rPr>
                    <w:rFonts w:ascii="Georgia" w:eastAsia="Times New Roman" w:hAnsi="Georgia" w:cs="Times New Roman"/>
                    <w:color w:val="333333"/>
                    <w:sz w:val="27"/>
                    <w:szCs w:val="27"/>
                    <w:lang w:eastAsia="en-GB"/>
                  </w:rPr>
                  <w:fldChar w:fldCharType="separate"/>
                </w:r>
                <w:r w:rsidRPr="00086AAA">
                  <w:rPr>
                    <w:rFonts w:ascii="Georgia" w:eastAsia="Times New Roman" w:hAnsi="Georgia" w:cs="Times New Roman"/>
                    <w:noProof/>
                    <w:color w:val="333333"/>
                    <w:sz w:val="27"/>
                    <w:szCs w:val="27"/>
                    <w:lang w:eastAsia="en-GB"/>
                  </w:rPr>
                  <w:t>(Mulyani et al., 2021)</w:t>
                </w:r>
                <w:r>
                  <w:rPr>
                    <w:rFonts w:ascii="Georgia" w:eastAsia="Times New Roman" w:hAnsi="Georgia" w:cs="Times New Roman"/>
                    <w:color w:val="333333"/>
                    <w:sz w:val="27"/>
                    <w:szCs w:val="27"/>
                    <w:lang w:eastAsia="en-GB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F65552" w:rsidRPr="00D9719A" w:rsidRDefault="00773A84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773A84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https://ieeexplore.ieee.org/abstract/document/9535057</w:t>
            </w:r>
          </w:p>
        </w:tc>
      </w:tr>
      <w:tr w:rsidR="00F65552" w:rsidRPr="00DD41B9" w:rsidTr="00F76AFD">
        <w:tc>
          <w:tcPr>
            <w:tcW w:w="1809" w:type="dxa"/>
          </w:tcPr>
          <w:p w:rsidR="00F65552" w:rsidRDefault="00374C45" w:rsidP="00DD41B9">
            <w:sdt>
              <w:sdtPr>
                <w:id w:val="-1820728273"/>
                <w:citation/>
              </w:sdtPr>
              <w:sdtContent>
                <w:r>
                  <w:fldChar w:fldCharType="begin"/>
                </w:r>
                <w:r>
                  <w:instrText xml:space="preserve"> CITATION Ela21 \l 1033 </w:instrText>
                </w:r>
                <w:r>
                  <w:fldChar w:fldCharType="separate"/>
                </w:r>
                <w:r>
                  <w:rPr>
                    <w:noProof/>
                  </w:rPr>
                  <w:t>(Elayyan, 2021)</w:t>
                </w:r>
                <w: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F65552" w:rsidRPr="00D9719A" w:rsidRDefault="00374C45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374C4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https://dergipark.org.tr/en/download/article-file/1102836</w:t>
            </w:r>
          </w:p>
        </w:tc>
      </w:tr>
      <w:tr w:rsidR="00F65552" w:rsidRPr="00DD41B9" w:rsidTr="00F76AFD">
        <w:tc>
          <w:tcPr>
            <w:tcW w:w="1809" w:type="dxa"/>
          </w:tcPr>
          <w:p w:rsidR="00F65552" w:rsidRDefault="005530EC" w:rsidP="00DD41B9">
            <w:sdt>
              <w:sdtPr>
                <w:rPr>
                  <w:rFonts w:ascii="Georgia" w:hAnsi="Georgia"/>
                  <w:color w:val="1F1F1F"/>
                </w:rPr>
                <w:id w:val="1596123917"/>
                <w:citation/>
              </w:sdtPr>
              <w:sdtContent>
                <w:r>
                  <w:rPr>
                    <w:rFonts w:ascii="Georgia" w:hAnsi="Georgia"/>
                    <w:color w:val="1F1F1F"/>
                  </w:rPr>
                  <w:fldChar w:fldCharType="begin"/>
                </w:r>
                <w:r>
                  <w:rPr>
                    <w:rFonts w:ascii="Georgia" w:hAnsi="Georgia"/>
                    <w:color w:val="1F1F1F"/>
                  </w:rPr>
                  <w:instrText xml:space="preserve"> CITATION Oke20 \l 1033 </w:instrText>
                </w:r>
                <w:r>
                  <w:rPr>
                    <w:rFonts w:ascii="Georgia" w:hAnsi="Georgia"/>
                    <w:color w:val="1F1F1F"/>
                  </w:rPr>
                  <w:fldChar w:fldCharType="separate"/>
                </w:r>
                <w:r w:rsidRPr="00FE43AE">
                  <w:rPr>
                    <w:rFonts w:ascii="Georgia" w:hAnsi="Georgia"/>
                    <w:noProof/>
                    <w:color w:val="1F1F1F"/>
                  </w:rPr>
                  <w:t>(Oke and Fernandes, 2020)</w:t>
                </w:r>
                <w:r>
                  <w:rPr>
                    <w:rFonts w:ascii="Georgia" w:hAnsi="Georgia"/>
                    <w:color w:val="1F1F1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:rsidR="00F65552" w:rsidRPr="00D9719A" w:rsidRDefault="005530EC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5530EC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https://www.sciencedirect.com/science/article/pii/S2199853122004267</w:t>
            </w:r>
          </w:p>
        </w:tc>
      </w:tr>
      <w:bookmarkStart w:id="0" w:name="_GoBack"/>
      <w:tr w:rsidR="00F65552" w:rsidRPr="00DD41B9" w:rsidTr="00F76AFD">
        <w:tc>
          <w:tcPr>
            <w:tcW w:w="1809" w:type="dxa"/>
          </w:tcPr>
          <w:p w:rsidR="00F65552" w:rsidRDefault="006A2C97" w:rsidP="00DD41B9">
            <w:sdt>
              <w:sdtPr>
                <w:id w:val="-84655380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Gri20 \l 1033 </w:instrText>
                </w:r>
                <w:r>
                  <w:fldChar w:fldCharType="separate"/>
                </w:r>
                <w:r w:rsidRPr="006A2C97">
                  <w:rPr>
                    <w:noProof/>
                    <w:lang w:val="en-US"/>
                  </w:rPr>
                  <w:t>(Grinshkun and Osipovskaya, 2020)</w:t>
                </w:r>
                <w:r>
                  <w:fldChar w:fldCharType="end"/>
                </w:r>
              </w:sdtContent>
            </w:sdt>
            <w:bookmarkEnd w:id="0"/>
          </w:p>
        </w:tc>
        <w:tc>
          <w:tcPr>
            <w:tcW w:w="7433" w:type="dxa"/>
          </w:tcPr>
          <w:p w:rsidR="00F65552" w:rsidRPr="00D9719A" w:rsidRDefault="007C3BDC" w:rsidP="00DD41B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7C3BDC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  <w:t>https://ceur-ws.org/Vol-2770/paper2.pdf</w:t>
            </w:r>
          </w:p>
        </w:tc>
      </w:tr>
    </w:tbl>
    <w:p w:rsidR="0061516E" w:rsidRPr="00D14540" w:rsidRDefault="0061516E">
      <w:pPr>
        <w:rPr>
          <w:lang w:val="en-US"/>
        </w:rPr>
      </w:pPr>
    </w:p>
    <w:sectPr w:rsidR="0061516E" w:rsidRPr="00D1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40"/>
    <w:rsid w:val="001430FF"/>
    <w:rsid w:val="001975EB"/>
    <w:rsid w:val="002217D8"/>
    <w:rsid w:val="00374C45"/>
    <w:rsid w:val="003F6263"/>
    <w:rsid w:val="00527AB0"/>
    <w:rsid w:val="005530EC"/>
    <w:rsid w:val="006006D9"/>
    <w:rsid w:val="0061516E"/>
    <w:rsid w:val="006A2C97"/>
    <w:rsid w:val="007077C7"/>
    <w:rsid w:val="00773A84"/>
    <w:rsid w:val="007C3BDC"/>
    <w:rsid w:val="00872DDC"/>
    <w:rsid w:val="008B3D27"/>
    <w:rsid w:val="008D332C"/>
    <w:rsid w:val="008D383D"/>
    <w:rsid w:val="008F146B"/>
    <w:rsid w:val="00A4790F"/>
    <w:rsid w:val="00A81B82"/>
    <w:rsid w:val="00B14CA8"/>
    <w:rsid w:val="00CC2E62"/>
    <w:rsid w:val="00CE15E8"/>
    <w:rsid w:val="00D14540"/>
    <w:rsid w:val="00D9719A"/>
    <w:rsid w:val="00DD41B9"/>
    <w:rsid w:val="00E70C1D"/>
    <w:rsid w:val="00F6490E"/>
    <w:rsid w:val="00F65552"/>
    <w:rsid w:val="00F7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>
  <b:Source>
    <b:Tag>Kay19</b:Tag>
    <b:SourceType>JournalArticle</b:SourceType>
    <b:Guid>{FAB99B91-F219-4E5B-A14D-D0FC8EBEB644}</b:Guid>
    <b:Author>
      <b:Author>
        <b:NameList>
          <b:Person>
            <b:Last>Kayembe</b:Last>
            <b:First>Christian</b:First>
          </b:Person>
          <b:Person>
            <b:Last>Nel-Sanders</b:Last>
            <b:First>Danielle</b:First>
          </b:Person>
        </b:NameList>
      </b:Author>
    </b:Author>
    <b:Title>Challenges and opportunities for education in the Fourth Industrial Revolution</b:Title>
    <b:JournalName>African Journal of Public Affairs</b:JournalName>
    <b:Year>2019</b:Year>
    <b:Pages>79-94</b:Pages>
    <b:Volume>11</b:Volume>
    <b:Issue>3</b:Issue>
    <b:RefOrder>1</b:RefOrder>
  </b:Source>
  <b:Source>
    <b:Tag>Sce19</b:Tag>
    <b:SourceType>ConferenceProceedings</b:SourceType>
    <b:Guid>{D9D3B4FB-43F2-46F0-A128-957CEC3B61D6}</b:Guid>
    <b:Title>The Fourth Industrial Revolution and Education</b:Title>
    <b:JournalName>2019 8th Mediterranean Conference on Embedded Computing (MECO)</b:JournalName>
    <b:Year>2019</b:Year>
    <b:Pages>1-4</b:Pages>
    <b:Author>
      <b:Author>
        <b:NameList>
          <b:Person>
            <b:Last>Scepanovič</b:Last>
            <b:First>Snezana</b:First>
          </b:Person>
        </b:NameList>
      </b:Author>
    </b:Author>
    <b:ConferenceName>2019 8th Mediterranean Conference on Embedded Computing (MECO)</b:ConferenceName>
    <b:City>Budva</b:City>
    <b:RefOrder>2</b:RefOrder>
  </b:Source>
  <b:Source>
    <b:Tag>Gri20</b:Tag>
    <b:SourceType>ConferenceProceedings</b:SourceType>
    <b:Guid>{BAF3425E-5E7C-4ACD-BE8C-C23225102A6B}</b:Guid>
    <b:Title>Teaching in the Fourth Industrial Revolution:</b:Title>
    <b:Year>2020</b:Year>
    <b:Pages>9-15</b:Pages>
    <b:Volume>2770</b:Volume>
    <b:Issue>19</b:Issue>
    <b:ConferenceName>Proceedings of the 4th International Conference on Informatization of Education and E-learning Methodology:</b:ConferenceName>
    <b:City>Krasnoyarsk</b:City>
    <b:Author>
      <b:Author>
        <b:NameList>
          <b:Person>
            <b:Last>Grinshkun</b:Last>
            <b:First>Vadim</b:First>
          </b:Person>
          <b:Person>
            <b:Last>Osipovskaya</b:Last>
            <b:First>Elizaveta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5E64B98-A0D2-472A-AE4C-644A3C62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</dc:creator>
  <cp:lastModifiedBy>kausar</cp:lastModifiedBy>
  <cp:revision>22</cp:revision>
  <dcterms:created xsi:type="dcterms:W3CDTF">2024-02-25T12:14:00Z</dcterms:created>
  <dcterms:modified xsi:type="dcterms:W3CDTF">2024-03-03T04:07:00Z</dcterms:modified>
</cp:coreProperties>
</file>