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BrandSentinel Global Brand Style &amp; Legal Compliance Guide 2026</w:t>
      </w:r>
    </w:p>
    <w:p>
      <w:pPr>
        <w:pStyle w:val="Heading1"/>
      </w:pPr>
      <w:r>
        <w:t>1. Trademark and Nomenclature</w:t>
      </w:r>
    </w:p>
    <w:p>
      <w:r>
        <w:t>BrandSentinel must always appear with capital B and capital S as one word. Never write Brand Sentinel or brand-sentinel.</w:t>
      </w:r>
    </w:p>
    <w:p>
      <w:pPr>
        <w:pStyle w:val="Heading1"/>
      </w:pPr>
      <w:r>
        <w:t>2. Claims &amp; FTC Disclosures</w:t>
      </w:r>
    </w:p>
    <w:p>
      <w:r>
        <w:t>Never claim that our software is 100% unhackable or bulletproof. Always disclose that security is based on SOC 2 Type II controls and continuous penetration testing.</w:t>
      </w:r>
    </w:p>
    <w:p>
      <w:pPr>
        <w:pStyle w:val="Heading1"/>
      </w:pPr>
      <w:r>
        <w:t>3. Inclusive Technical Vocabulary</w:t>
      </w:r>
    </w:p>
    <w:p>
      <w:r>
        <w:t>Replace blacklist with blocklist, whitelist with allowlist, and master/slave with primary/replica across all technical architectures.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