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University of South Wales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University of Lincoln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Cardiff Metropolitan University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Bloomsbury Institute of London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Univesity of West of England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Solent University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Study Group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University of Creative Arts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Liverpool John Moores University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University of Wales Trinity Saint David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Arkansas State University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Claflin University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Lincoln University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Lake Washington Institution of Technology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Uni of New Haven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Montana State University Billings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Pierce College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Skagit College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 Spokane College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10. Westcliff University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11. Woodbury University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La Trobe Uni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CQU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RMIT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Uni of Wollongong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Charles Darwin Uni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Uni of Southern Queensland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Excelsia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ICMS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 Chisholm Institute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10. Melbourne Institute of Technology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Conestoga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Centennoal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Northern Lights College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Humber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 Seneca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Niagara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7. Fanshawe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George Brown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9. Algonquin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 Confederation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 Canadore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12. Fleming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