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GIET University, Gunupur</w:t>
      </w:r>
    </w:p>
    <w:p>
      <w:pPr>
        <w:jc w:val="center"/>
      </w:pPr>
      <w:r>
        <w:rPr>
          <w:b/>
          <w:color w:val="005293"/>
          <w:sz w:val="60"/>
        </w:rPr>
        <w:t>Fee and Refund Policy</w:t>
      </w:r>
    </w:p>
    <w:p>
      <w:pPr>
        <w:jc w:val="center"/>
      </w:pPr>
      <w:r>
        <w:rPr>
          <w:i/>
          <w:sz w:val="26"/>
        </w:rPr>
        <w:t>Course fees, instalments and refund conditions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80"/>
        <w:gridCol w:w="6480"/>
      </w:tblGrid>
      <w:tr>
        <w:tc>
          <w:tcPr>
            <w:tcW w:type="dxa" w:w="5040"/>
            <w:vAlign w:val="center"/>
            <w:shd w:fill="1F4E79"/>
          </w:tcPr>
          <w:p>
            <w:r/>
            <w:r>
              <w:rPr>
                <w:b/>
                <w:color w:val="FFFFFF"/>
              </w:rPr>
              <w:t>Document name</w:t>
            </w:r>
          </w:p>
        </w:tc>
        <w:tc>
          <w:tcPr>
            <w:tcW w:type="dxa" w:w="5040"/>
            <w:vAlign w:val="center"/>
          </w:tcPr>
          <w:p>
            <w:r/>
            <w:r>
              <w:rPr>
                <w:b w:val="0"/>
              </w:rPr>
              <w:t>fee_and_refund_policy.docx</w:t>
            </w:r>
          </w:p>
        </w:tc>
      </w:tr>
      <w:tr>
        <w:tc>
          <w:tcPr>
            <w:tcW w:type="dxa" w:w="5040"/>
            <w:vAlign w:val="center"/>
            <w:shd w:fill="1F4E79"/>
          </w:tcPr>
          <w:p>
            <w:r/>
            <w:r>
              <w:rPr>
                <w:b/>
                <w:color w:val="FFFFFF"/>
              </w:rPr>
              <w:t>Institution</w:t>
            </w:r>
          </w:p>
        </w:tc>
        <w:tc>
          <w:tcPr>
            <w:tcW w:type="dxa" w:w="5040"/>
            <w:vAlign w:val="center"/>
          </w:tcPr>
          <w:p>
            <w:r/>
            <w:r>
              <w:rPr>
                <w:b w:val="0"/>
              </w:rPr>
              <w:t>GIET University, Gunupur, Odisha</w:t>
            </w:r>
          </w:p>
        </w:tc>
      </w:tr>
      <w:tr>
        <w:tc>
          <w:tcPr>
            <w:tcW w:type="dxa" w:w="5040"/>
            <w:vAlign w:val="center"/>
            <w:shd w:fill="1F4E79"/>
          </w:tcPr>
          <w:p>
            <w:r/>
            <w:r>
              <w:rPr>
                <w:b/>
                <w:color w:val="FFFFFF"/>
              </w:rPr>
              <w:t>Prepared for</w:t>
            </w:r>
          </w:p>
        </w:tc>
        <w:tc>
          <w:tcPr>
            <w:tcW w:type="dxa" w:w="5040"/>
            <w:vAlign w:val="center"/>
          </w:tcPr>
          <w:p>
            <w:r/>
            <w:r>
              <w:rPr>
                <w:b w:val="0"/>
              </w:rPr>
              <w:t>Student/admission information reference</w:t>
            </w:r>
          </w:p>
        </w:tc>
      </w:tr>
      <w:tr>
        <w:tc>
          <w:tcPr>
            <w:tcW w:type="dxa" w:w="5040"/>
            <w:vAlign w:val="center"/>
            <w:shd w:fill="1F4E79"/>
          </w:tcPr>
          <w:p>
            <w:r/>
            <w:r>
              <w:rPr>
                <w:b/>
                <w:color w:val="FFFFFF"/>
              </w:rPr>
              <w:t>Source basis</w:t>
            </w:r>
          </w:p>
        </w:tc>
        <w:tc>
          <w:tcPr>
            <w:tcW w:type="dxa" w:w="5040"/>
            <w:vAlign w:val="center"/>
          </w:tcPr>
          <w:p>
            <w:r/>
            <w:r>
              <w:rPr>
                <w:b w:val="0"/>
              </w:rPr>
              <w:t>GIET University official fee-structure page/PDF and refund/cancellation policy page</w:t>
            </w:r>
          </w:p>
        </w:tc>
      </w:tr>
    </w:tbl>
    <w:p>
      <w:r>
        <w:br w:type="page"/>
      </w:r>
    </w:p>
    <w:p>
      <w:pPr>
        <w:pStyle w:val="Heading1"/>
      </w:pPr>
      <w:r>
        <w:rPr>
          <w:color w:val="1F4E79"/>
        </w:rPr>
        <w:t>1. Purpose and scope</w:t>
      </w:r>
    </w:p>
    <w:p>
      <w:r>
        <w:t>This document summarizes course fee categories, instalment references and refund conditions for GIET University, Gunupur. It is intended as a concise student-facing reference and not as a replacement for the official university admission order, fee circular, or legally binding policy notice.</w:t>
      </w:r>
    </w:p>
    <w:tbl>
      <w:tblPr>
        <w:tblW w:type="auto" w:w="0"/>
        <w:jc w:val="center"/>
        <w:tblLook w:firstColumn="1" w:firstRow="1" w:lastColumn="0" w:lastRow="0" w:noHBand="0" w:noVBand="1" w:val="04A0"/>
      </w:tblPr>
      <w:tblGrid>
        <w:gridCol w:w="10080"/>
      </w:tblGrid>
      <w:tr>
        <w:tc>
          <w:tcPr>
            <w:tcW w:type="dxa" w:w="10080"/>
            <w:shd w:fill="FFF2CC"/>
          </w:tcPr>
          <w:p>
            <w:r/>
            <w:r>
              <w:rPr>
                <w:b/>
                <w:color w:val="1F4E79"/>
              </w:rPr>
              <w:t xml:space="preserve">Important verification note: </w:t>
            </w:r>
            <w:r>
              <w:t>The official GIET University fee structure located from the university website is labelled for the academic session 2024-25, effective 1 February 2024. Students should verify the latest applicable amount on the official admissions page before making payment.</w:t>
            </w:r>
          </w:p>
        </w:tc>
      </w:tr>
    </w:tbl>
    <w:p>
      <w:pPr>
        <w:pStyle w:val="Heading1"/>
      </w:pPr>
      <w:r>
        <w:rPr>
          <w:color w:val="1F4E79"/>
        </w:rPr>
        <w:t>2. Course fees and instalment reference</w:t>
      </w:r>
    </w:p>
    <w:p>
      <w:r>
        <w:t>The table below captures the course-fee amounts visible from the official GIET University fee-structure PDF/page. “Per Semester” may be used as the instalment reference where a semester-wise payment option is applicable.</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20"/>
        <w:gridCol w:w="2520"/>
        <w:gridCol w:w="2520"/>
        <w:gridCol w:w="2520"/>
      </w:tblGrid>
      <w:tr>
        <w:tc>
          <w:tcPr>
            <w:tcW w:type="dxa" w:w="2520"/>
            <w:vAlign w:val="center"/>
            <w:shd w:fill="1F4E79"/>
          </w:tcPr>
          <w:p>
            <w:pPr>
              <w:spacing w:after="60"/>
            </w:pPr>
            <w:r>
              <w:rPr>
                <w:sz w:val="17"/>
              </w:rPr>
            </w:r>
            <w:r>
              <w:rPr>
                <w:b/>
                <w:color w:val="FFFFFF"/>
                <w:sz w:val="17"/>
              </w:rPr>
              <w:t>Course / programme</w:t>
            </w:r>
          </w:p>
        </w:tc>
        <w:tc>
          <w:tcPr>
            <w:tcW w:type="dxa" w:w="2520"/>
            <w:vAlign w:val="center"/>
            <w:shd w:fill="1F4E79"/>
          </w:tcPr>
          <w:p>
            <w:pPr>
              <w:spacing w:after="60"/>
            </w:pPr>
            <w:r>
              <w:rPr>
                <w:sz w:val="17"/>
              </w:rPr>
            </w:r>
            <w:r>
              <w:rPr>
                <w:b/>
                <w:color w:val="FFFFFF"/>
                <w:sz w:val="17"/>
              </w:rPr>
              <w:t>Fees per annum</w:t>
            </w:r>
          </w:p>
        </w:tc>
        <w:tc>
          <w:tcPr>
            <w:tcW w:type="dxa" w:w="2520"/>
            <w:vAlign w:val="center"/>
            <w:shd w:fill="1F4E79"/>
          </w:tcPr>
          <w:p>
            <w:pPr>
              <w:spacing w:after="60"/>
            </w:pPr>
            <w:r>
              <w:rPr>
                <w:sz w:val="17"/>
              </w:rPr>
            </w:r>
            <w:r>
              <w:rPr>
                <w:b/>
                <w:color w:val="FFFFFF"/>
                <w:sz w:val="17"/>
              </w:rPr>
              <w:t>Instalment / per semester</w:t>
            </w:r>
          </w:p>
        </w:tc>
        <w:tc>
          <w:tcPr>
            <w:tcW w:type="dxa" w:w="2520"/>
            <w:vAlign w:val="center"/>
            <w:shd w:fill="1F4E79"/>
          </w:tcPr>
          <w:p>
            <w:pPr>
              <w:spacing w:after="60"/>
            </w:pPr>
            <w:r>
              <w:rPr>
                <w:sz w:val="17"/>
              </w:rPr>
            </w:r>
            <w:r>
              <w:rPr>
                <w:b/>
                <w:color w:val="FFFFFF"/>
                <w:sz w:val="17"/>
              </w:rPr>
              <w:t>Notes</w:t>
            </w:r>
          </w:p>
        </w:tc>
      </w:tr>
      <w:tr>
        <w:tc>
          <w:tcPr>
            <w:tcW w:type="dxa" w:w="2520"/>
            <w:vAlign w:val="center"/>
          </w:tcPr>
          <w:p>
            <w:pPr>
              <w:spacing w:after="60"/>
            </w:pPr>
            <w:r>
              <w:rPr>
                <w:sz w:val="17"/>
              </w:rPr>
            </w:r>
            <w:r>
              <w:rPr>
                <w:b w:val="0"/>
                <w:sz w:val="17"/>
              </w:rPr>
              <w:t>B.Tech - CSE / CSE &amp; Tech / CSE AI &amp; ML / CSE Data Science / CSE IoT</w:t>
            </w:r>
          </w:p>
        </w:tc>
        <w:tc>
          <w:tcPr>
            <w:tcW w:type="dxa" w:w="2520"/>
            <w:vAlign w:val="center"/>
          </w:tcPr>
          <w:p>
            <w:pPr>
              <w:spacing w:after="60"/>
            </w:pPr>
            <w:r>
              <w:rPr>
                <w:sz w:val="17"/>
              </w:rPr>
            </w:r>
            <w:r>
              <w:rPr>
                <w:b w:val="0"/>
                <w:sz w:val="17"/>
              </w:rPr>
              <w:t>Rs. 1,91,000</w:t>
            </w:r>
          </w:p>
        </w:tc>
        <w:tc>
          <w:tcPr>
            <w:tcW w:type="dxa" w:w="2520"/>
            <w:vAlign w:val="center"/>
          </w:tcPr>
          <w:p>
            <w:pPr>
              <w:spacing w:after="60"/>
            </w:pPr>
            <w:r>
              <w:rPr>
                <w:sz w:val="17"/>
              </w:rPr>
            </w:r>
            <w:r>
              <w:rPr>
                <w:b w:val="0"/>
                <w:sz w:val="17"/>
              </w:rPr>
              <w:t>Rs. 95,500</w:t>
            </w:r>
          </w:p>
        </w:tc>
        <w:tc>
          <w:tcPr>
            <w:tcW w:type="dxa" w:w="2520"/>
            <w:vAlign w:val="center"/>
          </w:tcPr>
          <w:p>
            <w:pPr>
              <w:spacing w:after="60"/>
            </w:pPr>
            <w:r>
              <w:rPr>
                <w:sz w:val="17"/>
              </w:rPr>
            </w:r>
            <w:r>
              <w:rPr>
                <w:b w:val="0"/>
                <w:sz w:val="17"/>
              </w:rPr>
              <w:t>Official fee structure shows these CSE-related programmes at the same annual and semester rate.</w:t>
            </w:r>
          </w:p>
        </w:tc>
      </w:tr>
      <w:tr>
        <w:tc>
          <w:tcPr>
            <w:tcW w:type="dxa" w:w="2520"/>
            <w:vAlign w:val="center"/>
          </w:tcPr>
          <w:p>
            <w:pPr>
              <w:spacing w:after="60"/>
            </w:pPr>
            <w:r>
              <w:rPr>
                <w:sz w:val="17"/>
              </w:rPr>
            </w:r>
            <w:r>
              <w:rPr>
                <w:b w:val="0"/>
                <w:sz w:val="17"/>
              </w:rPr>
              <w:t>B.Tech - Mechanical / Civil / Chemical / Biotechnology / Electrical / EEE / ECE VLSI / ECE ACT</w:t>
            </w:r>
          </w:p>
        </w:tc>
        <w:tc>
          <w:tcPr>
            <w:tcW w:type="dxa" w:w="2520"/>
            <w:vAlign w:val="center"/>
          </w:tcPr>
          <w:p>
            <w:pPr>
              <w:spacing w:after="60"/>
            </w:pPr>
            <w:r>
              <w:rPr>
                <w:sz w:val="17"/>
              </w:rPr>
            </w:r>
            <w:r>
              <w:rPr>
                <w:b w:val="0"/>
                <w:sz w:val="17"/>
              </w:rPr>
              <w:t>Rs. 1,05,000</w:t>
            </w:r>
          </w:p>
        </w:tc>
        <w:tc>
          <w:tcPr>
            <w:tcW w:type="dxa" w:w="2520"/>
            <w:vAlign w:val="center"/>
          </w:tcPr>
          <w:p>
            <w:pPr>
              <w:spacing w:after="60"/>
            </w:pPr>
            <w:r>
              <w:rPr>
                <w:sz w:val="17"/>
              </w:rPr>
            </w:r>
            <w:r>
              <w:rPr>
                <w:b w:val="0"/>
                <w:sz w:val="17"/>
              </w:rPr>
              <w:t>Rs. 52,500</w:t>
            </w:r>
          </w:p>
        </w:tc>
        <w:tc>
          <w:tcPr>
            <w:tcW w:type="dxa" w:w="2520"/>
            <w:vAlign w:val="center"/>
          </w:tcPr>
          <w:p>
            <w:pPr>
              <w:spacing w:after="60"/>
            </w:pPr>
            <w:r>
              <w:rPr>
                <w:sz w:val="17"/>
              </w:rPr>
            </w:r>
            <w:r>
              <w:rPr>
                <w:b w:val="0"/>
                <w:sz w:val="17"/>
              </w:rPr>
              <w:t>Official fee structure lists these non-CSE engineering programmes at this annual and semester rate.</w:t>
            </w:r>
          </w:p>
        </w:tc>
      </w:tr>
      <w:tr>
        <w:tc>
          <w:tcPr>
            <w:tcW w:type="dxa" w:w="2520"/>
            <w:vAlign w:val="center"/>
          </w:tcPr>
          <w:p>
            <w:pPr>
              <w:spacing w:after="60"/>
            </w:pPr>
            <w:r>
              <w:rPr>
                <w:sz w:val="17"/>
              </w:rPr>
            </w:r>
            <w:r>
              <w:rPr>
                <w:b w:val="0"/>
                <w:sz w:val="17"/>
              </w:rPr>
              <w:t>B.Tech - Electronics &amp; Communication Engineering</w:t>
            </w:r>
          </w:p>
        </w:tc>
        <w:tc>
          <w:tcPr>
            <w:tcW w:type="dxa" w:w="2520"/>
            <w:vAlign w:val="center"/>
          </w:tcPr>
          <w:p>
            <w:pPr>
              <w:spacing w:after="60"/>
            </w:pPr>
            <w:r>
              <w:rPr>
                <w:sz w:val="17"/>
              </w:rPr>
            </w:r>
            <w:r>
              <w:rPr>
                <w:b w:val="0"/>
                <w:sz w:val="17"/>
              </w:rPr>
              <w:t>Rs. 1,35,000</w:t>
            </w:r>
          </w:p>
        </w:tc>
        <w:tc>
          <w:tcPr>
            <w:tcW w:type="dxa" w:w="2520"/>
            <w:vAlign w:val="center"/>
          </w:tcPr>
          <w:p>
            <w:pPr>
              <w:spacing w:after="60"/>
            </w:pPr>
            <w:r>
              <w:rPr>
                <w:sz w:val="17"/>
              </w:rPr>
            </w:r>
            <w:r>
              <w:rPr>
                <w:b w:val="0"/>
                <w:sz w:val="17"/>
              </w:rPr>
              <w:t>Amount shown as per semester in source snippet is partially obscured</w:t>
            </w:r>
          </w:p>
        </w:tc>
        <w:tc>
          <w:tcPr>
            <w:tcW w:type="dxa" w:w="2520"/>
            <w:vAlign w:val="center"/>
          </w:tcPr>
          <w:p>
            <w:pPr>
              <w:spacing w:after="60"/>
            </w:pPr>
            <w:r>
              <w:rPr>
                <w:sz w:val="17"/>
              </w:rPr>
            </w:r>
            <w:r>
              <w:rPr>
                <w:b w:val="0"/>
                <w:sz w:val="17"/>
              </w:rPr>
              <w:t>Verify exact per-semester amount from the official PDF before payment.</w:t>
            </w:r>
          </w:p>
        </w:tc>
      </w:tr>
      <w:tr>
        <w:tc>
          <w:tcPr>
            <w:tcW w:type="dxa" w:w="2520"/>
            <w:vAlign w:val="center"/>
          </w:tcPr>
          <w:p>
            <w:pPr>
              <w:spacing w:after="60"/>
            </w:pPr>
            <w:r>
              <w:rPr>
                <w:sz w:val="17"/>
              </w:rPr>
            </w:r>
            <w:r>
              <w:rPr>
                <w:b w:val="0"/>
                <w:sz w:val="17"/>
              </w:rPr>
              <w:t>M.Tech programmes</w:t>
            </w:r>
          </w:p>
        </w:tc>
        <w:tc>
          <w:tcPr>
            <w:tcW w:type="dxa" w:w="2520"/>
            <w:vAlign w:val="center"/>
          </w:tcPr>
          <w:p>
            <w:pPr>
              <w:spacing w:after="60"/>
            </w:pPr>
            <w:r>
              <w:rPr>
                <w:sz w:val="17"/>
              </w:rPr>
            </w:r>
            <w:r>
              <w:rPr>
                <w:b w:val="0"/>
                <w:sz w:val="17"/>
              </w:rPr>
              <w:t>Rs. 60,000</w:t>
            </w:r>
          </w:p>
        </w:tc>
        <w:tc>
          <w:tcPr>
            <w:tcW w:type="dxa" w:w="2520"/>
            <w:vAlign w:val="center"/>
          </w:tcPr>
          <w:p>
            <w:pPr>
              <w:spacing w:after="60"/>
            </w:pPr>
            <w:r>
              <w:rPr>
                <w:sz w:val="17"/>
              </w:rPr>
            </w:r>
            <w:r>
              <w:rPr>
                <w:b w:val="0"/>
                <w:sz w:val="17"/>
              </w:rPr>
              <w:t>Rs. 30,000</w:t>
            </w:r>
          </w:p>
        </w:tc>
        <w:tc>
          <w:tcPr>
            <w:tcW w:type="dxa" w:w="2520"/>
            <w:vAlign w:val="center"/>
          </w:tcPr>
          <w:p>
            <w:pPr>
              <w:spacing w:after="60"/>
            </w:pPr>
            <w:r>
              <w:rPr>
                <w:sz w:val="17"/>
              </w:rPr>
            </w:r>
            <w:r>
              <w:rPr>
                <w:b w:val="0"/>
                <w:sz w:val="17"/>
              </w:rPr>
              <w:t>Includes CSE, Structural Engineering, Construction Technology &amp; Management, Heat Power &amp; Thermal, Machine Design, Power Electronics, Biotechnology, Manufacturing Technology, VLSI Technology and Advanced Communication Technology as visible in the fee structure.</w:t>
            </w:r>
          </w:p>
        </w:tc>
      </w:tr>
      <w:tr>
        <w:tc>
          <w:tcPr>
            <w:tcW w:type="dxa" w:w="2520"/>
            <w:vAlign w:val="center"/>
          </w:tcPr>
          <w:p>
            <w:pPr>
              <w:spacing w:after="60"/>
            </w:pPr>
            <w:r>
              <w:rPr>
                <w:sz w:val="17"/>
              </w:rPr>
            </w:r>
            <w:r>
              <w:rPr>
                <w:b w:val="0"/>
                <w:sz w:val="17"/>
              </w:rPr>
              <w:t>B.Tech Lateral Entry - CSE</w:t>
            </w:r>
          </w:p>
        </w:tc>
        <w:tc>
          <w:tcPr>
            <w:tcW w:type="dxa" w:w="2520"/>
            <w:vAlign w:val="center"/>
          </w:tcPr>
          <w:p>
            <w:pPr>
              <w:spacing w:after="60"/>
            </w:pPr>
            <w:r>
              <w:rPr>
                <w:sz w:val="17"/>
              </w:rPr>
            </w:r>
            <w:r>
              <w:rPr>
                <w:b w:val="0"/>
                <w:sz w:val="17"/>
              </w:rPr>
              <w:t>Rs. 1,91,000</w:t>
            </w:r>
          </w:p>
        </w:tc>
        <w:tc>
          <w:tcPr>
            <w:tcW w:type="dxa" w:w="2520"/>
            <w:vAlign w:val="center"/>
          </w:tcPr>
          <w:p>
            <w:pPr>
              <w:spacing w:after="60"/>
            </w:pPr>
            <w:r>
              <w:rPr>
                <w:sz w:val="17"/>
              </w:rPr>
            </w:r>
            <w:r>
              <w:rPr>
                <w:b w:val="0"/>
                <w:sz w:val="17"/>
              </w:rPr>
              <w:t>Rs. 95,500</w:t>
            </w:r>
          </w:p>
        </w:tc>
        <w:tc>
          <w:tcPr>
            <w:tcW w:type="dxa" w:w="2520"/>
            <w:vAlign w:val="center"/>
          </w:tcPr>
          <w:p>
            <w:pPr>
              <w:spacing w:after="60"/>
            </w:pPr>
            <w:r>
              <w:rPr>
                <w:sz w:val="17"/>
              </w:rPr>
            </w:r>
            <w:r>
              <w:rPr>
                <w:b w:val="0"/>
                <w:sz w:val="17"/>
              </w:rPr>
              <w:t>For lateral entry CSE as visible in source snippet.</w:t>
            </w:r>
          </w:p>
        </w:tc>
      </w:tr>
      <w:tr>
        <w:tc>
          <w:tcPr>
            <w:tcW w:type="dxa" w:w="2520"/>
            <w:vAlign w:val="center"/>
          </w:tcPr>
          <w:p>
            <w:pPr>
              <w:spacing w:after="60"/>
            </w:pPr>
            <w:r>
              <w:rPr>
                <w:sz w:val="17"/>
              </w:rPr>
            </w:r>
            <w:r>
              <w:rPr>
                <w:b w:val="0"/>
                <w:sz w:val="17"/>
              </w:rPr>
              <w:t>B.Tech Lateral Entry - other than CSE</w:t>
            </w:r>
          </w:p>
        </w:tc>
        <w:tc>
          <w:tcPr>
            <w:tcW w:type="dxa" w:w="2520"/>
            <w:vAlign w:val="center"/>
          </w:tcPr>
          <w:p>
            <w:pPr>
              <w:spacing w:after="60"/>
            </w:pPr>
            <w:r>
              <w:rPr>
                <w:sz w:val="17"/>
              </w:rPr>
            </w:r>
            <w:r>
              <w:rPr>
                <w:b w:val="0"/>
                <w:sz w:val="17"/>
              </w:rPr>
              <w:t>Rs. 90,000</w:t>
            </w:r>
          </w:p>
        </w:tc>
        <w:tc>
          <w:tcPr>
            <w:tcW w:type="dxa" w:w="2520"/>
            <w:vAlign w:val="center"/>
          </w:tcPr>
          <w:p>
            <w:pPr>
              <w:spacing w:after="60"/>
            </w:pPr>
            <w:r>
              <w:rPr>
                <w:sz w:val="17"/>
              </w:rPr>
            </w:r>
            <w:r>
              <w:rPr>
                <w:b w:val="0"/>
                <w:sz w:val="17"/>
              </w:rPr>
              <w:t>Rs. 45,000</w:t>
            </w:r>
          </w:p>
        </w:tc>
        <w:tc>
          <w:tcPr>
            <w:tcW w:type="dxa" w:w="2520"/>
            <w:vAlign w:val="center"/>
          </w:tcPr>
          <w:p>
            <w:pPr>
              <w:spacing w:after="60"/>
            </w:pPr>
            <w:r>
              <w:rPr>
                <w:sz w:val="17"/>
              </w:rPr>
            </w:r>
            <w:r>
              <w:rPr>
                <w:b w:val="0"/>
                <w:sz w:val="17"/>
              </w:rPr>
              <w:t>For lateral entry non-CSE programmes as visible in source snippet.</w:t>
            </w:r>
          </w:p>
        </w:tc>
      </w:tr>
      <w:tr>
        <w:tc>
          <w:tcPr>
            <w:tcW w:type="dxa" w:w="2520"/>
            <w:vAlign w:val="center"/>
          </w:tcPr>
          <w:p>
            <w:pPr>
              <w:spacing w:after="60"/>
            </w:pPr>
            <w:r>
              <w:rPr>
                <w:sz w:val="17"/>
              </w:rPr>
            </w:r>
            <w:r>
              <w:rPr>
                <w:b w:val="0"/>
                <w:sz w:val="17"/>
              </w:rPr>
              <w:t>B.Tech Lateral Entry - AI &amp; ML / IoT / Data Science</w:t>
            </w:r>
          </w:p>
        </w:tc>
        <w:tc>
          <w:tcPr>
            <w:tcW w:type="dxa" w:w="2520"/>
            <w:vAlign w:val="center"/>
          </w:tcPr>
          <w:p>
            <w:pPr>
              <w:spacing w:after="60"/>
            </w:pPr>
            <w:r>
              <w:rPr>
                <w:sz w:val="17"/>
              </w:rPr>
            </w:r>
            <w:r>
              <w:rPr>
                <w:b w:val="0"/>
                <w:sz w:val="17"/>
              </w:rPr>
              <w:t>Rs. 1,91,000</w:t>
            </w:r>
          </w:p>
        </w:tc>
        <w:tc>
          <w:tcPr>
            <w:tcW w:type="dxa" w:w="2520"/>
            <w:vAlign w:val="center"/>
          </w:tcPr>
          <w:p>
            <w:pPr>
              <w:spacing w:after="60"/>
            </w:pPr>
            <w:r>
              <w:rPr>
                <w:sz w:val="17"/>
              </w:rPr>
            </w:r>
            <w:r>
              <w:rPr>
                <w:b w:val="0"/>
                <w:sz w:val="17"/>
              </w:rPr>
              <w:t>Rs. 95,500</w:t>
            </w:r>
          </w:p>
        </w:tc>
        <w:tc>
          <w:tcPr>
            <w:tcW w:type="dxa" w:w="2520"/>
            <w:vAlign w:val="center"/>
          </w:tcPr>
          <w:p>
            <w:pPr>
              <w:spacing w:after="60"/>
            </w:pPr>
            <w:r>
              <w:rPr>
                <w:sz w:val="17"/>
              </w:rPr>
            </w:r>
            <w:r>
              <w:rPr>
                <w:b w:val="0"/>
                <w:sz w:val="17"/>
              </w:rPr>
              <w:t>Source lists these specializations under lateral entry fee section.</w:t>
            </w:r>
          </w:p>
        </w:tc>
      </w:tr>
      <w:tr>
        <w:tc>
          <w:tcPr>
            <w:tcW w:type="dxa" w:w="2520"/>
            <w:vAlign w:val="center"/>
          </w:tcPr>
          <w:p>
            <w:pPr>
              <w:spacing w:after="60"/>
            </w:pPr>
            <w:r>
              <w:rPr>
                <w:sz w:val="17"/>
              </w:rPr>
            </w:r>
            <w:r>
              <w:rPr>
                <w:b w:val="0"/>
                <w:sz w:val="17"/>
              </w:rPr>
              <w:t>MCA</w:t>
            </w:r>
          </w:p>
        </w:tc>
        <w:tc>
          <w:tcPr>
            <w:tcW w:type="dxa" w:w="2520"/>
            <w:vAlign w:val="center"/>
          </w:tcPr>
          <w:p>
            <w:pPr>
              <w:spacing w:after="60"/>
            </w:pPr>
            <w:r>
              <w:rPr>
                <w:sz w:val="17"/>
              </w:rPr>
            </w:r>
            <w:r>
              <w:rPr>
                <w:b w:val="0"/>
                <w:sz w:val="17"/>
              </w:rPr>
              <w:t>Rs. 1,15,000</w:t>
            </w:r>
          </w:p>
        </w:tc>
        <w:tc>
          <w:tcPr>
            <w:tcW w:type="dxa" w:w="2520"/>
            <w:vAlign w:val="center"/>
          </w:tcPr>
          <w:p>
            <w:pPr>
              <w:spacing w:after="60"/>
            </w:pPr>
            <w:r>
              <w:rPr>
                <w:sz w:val="17"/>
              </w:rPr>
            </w:r>
            <w:r>
              <w:rPr>
                <w:b w:val="0"/>
                <w:sz w:val="17"/>
              </w:rPr>
              <w:t>Rs. 57,500</w:t>
            </w:r>
          </w:p>
        </w:tc>
        <w:tc>
          <w:tcPr>
            <w:tcW w:type="dxa" w:w="2520"/>
            <w:vAlign w:val="center"/>
          </w:tcPr>
          <w:p>
            <w:pPr>
              <w:spacing w:after="60"/>
            </w:pPr>
            <w:r>
              <w:rPr>
                <w:sz w:val="17"/>
              </w:rPr>
            </w:r>
            <w:r>
              <w:rPr>
                <w:b w:val="0"/>
                <w:sz w:val="17"/>
              </w:rPr>
              <w:t>Listed under MCA &amp; MBA course section.</w:t>
            </w:r>
          </w:p>
        </w:tc>
      </w:tr>
      <w:tr>
        <w:tc>
          <w:tcPr>
            <w:tcW w:type="dxa" w:w="2520"/>
            <w:vAlign w:val="center"/>
          </w:tcPr>
          <w:p>
            <w:pPr>
              <w:spacing w:after="60"/>
            </w:pPr>
            <w:r>
              <w:rPr>
                <w:sz w:val="17"/>
              </w:rPr>
            </w:r>
            <w:r>
              <w:rPr>
                <w:b w:val="0"/>
                <w:sz w:val="17"/>
              </w:rPr>
              <w:t>MBA</w:t>
            </w:r>
          </w:p>
        </w:tc>
        <w:tc>
          <w:tcPr>
            <w:tcW w:type="dxa" w:w="2520"/>
            <w:vAlign w:val="center"/>
          </w:tcPr>
          <w:p>
            <w:pPr>
              <w:spacing w:after="60"/>
            </w:pPr>
            <w:r>
              <w:rPr>
                <w:sz w:val="17"/>
              </w:rPr>
            </w:r>
            <w:r>
              <w:rPr>
                <w:b w:val="0"/>
                <w:sz w:val="17"/>
              </w:rPr>
              <w:t>Rs. 1,15,000</w:t>
            </w:r>
          </w:p>
        </w:tc>
        <w:tc>
          <w:tcPr>
            <w:tcW w:type="dxa" w:w="2520"/>
            <w:vAlign w:val="center"/>
          </w:tcPr>
          <w:p>
            <w:pPr>
              <w:spacing w:after="60"/>
            </w:pPr>
            <w:r>
              <w:rPr>
                <w:sz w:val="17"/>
              </w:rPr>
            </w:r>
            <w:r>
              <w:rPr>
                <w:b w:val="0"/>
                <w:sz w:val="17"/>
              </w:rPr>
              <w:t>Rs. 57,500</w:t>
            </w:r>
          </w:p>
        </w:tc>
        <w:tc>
          <w:tcPr>
            <w:tcW w:type="dxa" w:w="2520"/>
            <w:vAlign w:val="center"/>
          </w:tcPr>
          <w:p>
            <w:pPr>
              <w:spacing w:after="60"/>
            </w:pPr>
            <w:r>
              <w:rPr>
                <w:sz w:val="17"/>
              </w:rPr>
            </w:r>
            <w:r>
              <w:rPr>
                <w:b w:val="0"/>
                <w:sz w:val="17"/>
              </w:rPr>
              <w:t>Listed under MCA &amp; MBA course section.</w:t>
            </w:r>
          </w:p>
        </w:tc>
      </w:tr>
      <w:tr>
        <w:tc>
          <w:tcPr>
            <w:tcW w:type="dxa" w:w="2520"/>
            <w:vAlign w:val="center"/>
          </w:tcPr>
          <w:p>
            <w:pPr>
              <w:spacing w:after="60"/>
            </w:pPr>
            <w:r>
              <w:rPr>
                <w:sz w:val="17"/>
              </w:rPr>
            </w:r>
            <w:r>
              <w:rPr>
                <w:b w:val="0"/>
                <w:sz w:val="17"/>
              </w:rPr>
              <w:t>BCA</w:t>
            </w:r>
          </w:p>
        </w:tc>
        <w:tc>
          <w:tcPr>
            <w:tcW w:type="dxa" w:w="2520"/>
            <w:vAlign w:val="center"/>
          </w:tcPr>
          <w:p>
            <w:pPr>
              <w:spacing w:after="60"/>
            </w:pPr>
            <w:r>
              <w:rPr>
                <w:sz w:val="17"/>
              </w:rPr>
            </w:r>
            <w:r>
              <w:rPr>
                <w:b w:val="0"/>
                <w:sz w:val="17"/>
              </w:rPr>
              <w:t>Rs. 65,000</w:t>
            </w:r>
          </w:p>
        </w:tc>
        <w:tc>
          <w:tcPr>
            <w:tcW w:type="dxa" w:w="2520"/>
            <w:vAlign w:val="center"/>
          </w:tcPr>
          <w:p>
            <w:pPr>
              <w:spacing w:after="60"/>
            </w:pPr>
            <w:r>
              <w:rPr>
                <w:sz w:val="17"/>
              </w:rPr>
            </w:r>
            <w:r>
              <w:rPr>
                <w:b w:val="0"/>
                <w:sz w:val="17"/>
              </w:rPr>
              <w:t>Rs. 32,500</w:t>
            </w:r>
          </w:p>
        </w:tc>
        <w:tc>
          <w:tcPr>
            <w:tcW w:type="dxa" w:w="2520"/>
            <w:vAlign w:val="center"/>
          </w:tcPr>
          <w:p>
            <w:pPr>
              <w:spacing w:after="60"/>
            </w:pPr>
            <w:r>
              <w:rPr>
                <w:sz w:val="17"/>
              </w:rPr>
            </w:r>
            <w:r>
              <w:rPr>
                <w:b w:val="0"/>
                <w:sz w:val="17"/>
              </w:rPr>
              <w:t>Listed under BCA &amp; BBA course section.</w:t>
            </w:r>
          </w:p>
        </w:tc>
      </w:tr>
      <w:tr>
        <w:tc>
          <w:tcPr>
            <w:tcW w:type="dxa" w:w="2520"/>
            <w:vAlign w:val="center"/>
          </w:tcPr>
          <w:p>
            <w:pPr>
              <w:spacing w:after="60"/>
            </w:pPr>
            <w:r>
              <w:rPr>
                <w:sz w:val="17"/>
              </w:rPr>
            </w:r>
            <w:r>
              <w:rPr>
                <w:b w:val="0"/>
                <w:sz w:val="17"/>
              </w:rPr>
              <w:t>BBA</w:t>
            </w:r>
          </w:p>
        </w:tc>
        <w:tc>
          <w:tcPr>
            <w:tcW w:type="dxa" w:w="2520"/>
            <w:vAlign w:val="center"/>
          </w:tcPr>
          <w:p>
            <w:pPr>
              <w:spacing w:after="60"/>
            </w:pPr>
            <w:r>
              <w:rPr>
                <w:sz w:val="17"/>
              </w:rPr>
            </w:r>
            <w:r>
              <w:rPr>
                <w:b w:val="0"/>
                <w:sz w:val="17"/>
              </w:rPr>
              <w:t>Rs. 50,000</w:t>
            </w:r>
          </w:p>
        </w:tc>
        <w:tc>
          <w:tcPr>
            <w:tcW w:type="dxa" w:w="2520"/>
            <w:vAlign w:val="center"/>
          </w:tcPr>
          <w:p>
            <w:pPr>
              <w:spacing w:after="60"/>
            </w:pPr>
            <w:r>
              <w:rPr>
                <w:sz w:val="17"/>
              </w:rPr>
            </w:r>
            <w:r>
              <w:rPr>
                <w:b w:val="0"/>
                <w:sz w:val="17"/>
              </w:rPr>
              <w:t>Rs. 25,000</w:t>
            </w:r>
          </w:p>
        </w:tc>
        <w:tc>
          <w:tcPr>
            <w:tcW w:type="dxa" w:w="2520"/>
            <w:vAlign w:val="center"/>
          </w:tcPr>
          <w:p>
            <w:pPr>
              <w:spacing w:after="60"/>
            </w:pPr>
            <w:r>
              <w:rPr>
                <w:sz w:val="17"/>
              </w:rPr>
            </w:r>
            <w:r>
              <w:rPr>
                <w:b w:val="0"/>
                <w:sz w:val="17"/>
              </w:rPr>
              <w:t>Listed under BCA &amp; BBA course section.</w:t>
            </w:r>
          </w:p>
        </w:tc>
      </w:tr>
      <w:tr>
        <w:tc>
          <w:tcPr>
            <w:tcW w:type="dxa" w:w="2520"/>
            <w:vAlign w:val="center"/>
          </w:tcPr>
          <w:p>
            <w:pPr>
              <w:spacing w:after="60"/>
            </w:pPr>
            <w:r>
              <w:rPr>
                <w:sz w:val="17"/>
              </w:rPr>
            </w:r>
            <w:r>
              <w:rPr>
                <w:b w:val="0"/>
                <w:sz w:val="17"/>
              </w:rPr>
              <w:t>B.Sc. Agriculture (Hons.)</w:t>
            </w:r>
          </w:p>
        </w:tc>
        <w:tc>
          <w:tcPr>
            <w:tcW w:type="dxa" w:w="2520"/>
            <w:vAlign w:val="center"/>
          </w:tcPr>
          <w:p>
            <w:pPr>
              <w:spacing w:after="60"/>
            </w:pPr>
            <w:r>
              <w:rPr>
                <w:sz w:val="17"/>
              </w:rPr>
            </w:r>
            <w:r>
              <w:rPr>
                <w:b w:val="0"/>
                <w:sz w:val="17"/>
              </w:rPr>
              <w:t>Rs. 1,60,000</w:t>
            </w:r>
          </w:p>
        </w:tc>
        <w:tc>
          <w:tcPr>
            <w:tcW w:type="dxa" w:w="2520"/>
            <w:vAlign w:val="center"/>
          </w:tcPr>
          <w:p>
            <w:pPr>
              <w:spacing w:after="60"/>
            </w:pPr>
            <w:r>
              <w:rPr>
                <w:sz w:val="17"/>
              </w:rPr>
            </w:r>
            <w:r>
              <w:rPr>
                <w:b w:val="0"/>
                <w:sz w:val="17"/>
              </w:rPr>
              <w:t>Rs. 80,000</w:t>
            </w:r>
          </w:p>
        </w:tc>
        <w:tc>
          <w:tcPr>
            <w:tcW w:type="dxa" w:w="2520"/>
            <w:vAlign w:val="center"/>
          </w:tcPr>
          <w:p>
            <w:pPr>
              <w:spacing w:after="60"/>
            </w:pPr>
            <w:r>
              <w:rPr>
                <w:sz w:val="17"/>
              </w:rPr>
            </w:r>
            <w:r>
              <w:rPr>
                <w:b w:val="0"/>
                <w:sz w:val="17"/>
              </w:rPr>
              <w:t>Listed under agriculture course section.</w:t>
            </w:r>
          </w:p>
        </w:tc>
      </w:tr>
      <w:tr>
        <w:tc>
          <w:tcPr>
            <w:tcW w:type="dxa" w:w="2520"/>
            <w:vAlign w:val="center"/>
          </w:tcPr>
          <w:p>
            <w:pPr>
              <w:spacing w:after="60"/>
            </w:pPr>
            <w:r>
              <w:rPr>
                <w:sz w:val="17"/>
              </w:rPr>
            </w:r>
            <w:r>
              <w:rPr>
                <w:b w:val="0"/>
                <w:sz w:val="17"/>
              </w:rPr>
              <w:t>M.Sc. Agriculture</w:t>
            </w:r>
          </w:p>
        </w:tc>
        <w:tc>
          <w:tcPr>
            <w:tcW w:type="dxa" w:w="2520"/>
            <w:vAlign w:val="center"/>
          </w:tcPr>
          <w:p>
            <w:pPr>
              <w:spacing w:after="60"/>
            </w:pPr>
            <w:r>
              <w:rPr>
                <w:sz w:val="17"/>
              </w:rPr>
            </w:r>
            <w:r>
              <w:rPr>
                <w:b w:val="0"/>
                <w:sz w:val="17"/>
              </w:rPr>
              <w:t>Rs. 1,20,000</w:t>
            </w:r>
          </w:p>
        </w:tc>
        <w:tc>
          <w:tcPr>
            <w:tcW w:type="dxa" w:w="2520"/>
            <w:vAlign w:val="center"/>
          </w:tcPr>
          <w:p>
            <w:pPr>
              <w:spacing w:after="60"/>
            </w:pPr>
            <w:r>
              <w:rPr>
                <w:sz w:val="17"/>
              </w:rPr>
            </w:r>
            <w:r>
              <w:rPr>
                <w:b w:val="0"/>
                <w:sz w:val="17"/>
              </w:rPr>
              <w:t>Rs. 60,000</w:t>
            </w:r>
          </w:p>
        </w:tc>
        <w:tc>
          <w:tcPr>
            <w:tcW w:type="dxa" w:w="2520"/>
            <w:vAlign w:val="center"/>
          </w:tcPr>
          <w:p>
            <w:pPr>
              <w:spacing w:after="60"/>
            </w:pPr>
            <w:r>
              <w:rPr>
                <w:sz w:val="17"/>
              </w:rPr>
            </w:r>
            <w:r>
              <w:rPr>
                <w:b w:val="0"/>
                <w:sz w:val="17"/>
              </w:rPr>
              <w:t>Annual amount inferred directly from per-semester amount shown as 60,000 in the source text; verify in official PDF before use.</w:t>
            </w:r>
          </w:p>
        </w:tc>
      </w:tr>
      <w:tr>
        <w:tc>
          <w:tcPr>
            <w:tcW w:type="dxa" w:w="2520"/>
            <w:vAlign w:val="center"/>
          </w:tcPr>
          <w:p>
            <w:pPr>
              <w:spacing w:after="60"/>
            </w:pPr>
            <w:r>
              <w:rPr>
                <w:sz w:val="17"/>
              </w:rPr>
            </w:r>
            <w:r>
              <w:rPr>
                <w:b w:val="0"/>
                <w:sz w:val="17"/>
              </w:rPr>
              <w:t>M.Sc. Physics / Chemistry / Life Sciences / Biotechnology</w:t>
            </w:r>
          </w:p>
        </w:tc>
        <w:tc>
          <w:tcPr>
            <w:tcW w:type="dxa" w:w="2520"/>
            <w:vAlign w:val="center"/>
          </w:tcPr>
          <w:p>
            <w:pPr>
              <w:spacing w:after="60"/>
            </w:pPr>
            <w:r>
              <w:rPr>
                <w:sz w:val="17"/>
              </w:rPr>
            </w:r>
            <w:r>
              <w:rPr>
                <w:b w:val="0"/>
                <w:sz w:val="17"/>
              </w:rPr>
              <w:t>Rs. 60,000</w:t>
            </w:r>
          </w:p>
        </w:tc>
        <w:tc>
          <w:tcPr>
            <w:tcW w:type="dxa" w:w="2520"/>
            <w:vAlign w:val="center"/>
          </w:tcPr>
          <w:p>
            <w:pPr>
              <w:spacing w:after="60"/>
            </w:pPr>
            <w:r>
              <w:rPr>
                <w:sz w:val="17"/>
              </w:rPr>
            </w:r>
            <w:r>
              <w:rPr>
                <w:b w:val="0"/>
                <w:sz w:val="17"/>
              </w:rPr>
              <w:t>Rs. 30,000</w:t>
            </w:r>
          </w:p>
        </w:tc>
        <w:tc>
          <w:tcPr>
            <w:tcW w:type="dxa" w:w="2520"/>
            <w:vAlign w:val="center"/>
          </w:tcPr>
          <w:p>
            <w:pPr>
              <w:spacing w:after="60"/>
            </w:pPr>
            <w:r>
              <w:rPr>
                <w:sz w:val="17"/>
              </w:rPr>
            </w:r>
            <w:r>
              <w:rPr>
                <w:b w:val="0"/>
                <w:sz w:val="17"/>
              </w:rPr>
              <w:t>Listed under M.Sc. courses section.</w:t>
            </w:r>
          </w:p>
        </w:tc>
      </w:tr>
      <w:tr>
        <w:tc>
          <w:tcPr>
            <w:tcW w:type="dxa" w:w="2520"/>
            <w:vAlign w:val="center"/>
          </w:tcPr>
          <w:p>
            <w:pPr>
              <w:spacing w:after="60"/>
            </w:pPr>
            <w:r>
              <w:rPr>
                <w:sz w:val="17"/>
              </w:rPr>
            </w:r>
            <w:r>
              <w:rPr>
                <w:b w:val="0"/>
                <w:sz w:val="17"/>
              </w:rPr>
              <w:t>M.Sc. Mathematics</w:t>
            </w:r>
          </w:p>
        </w:tc>
        <w:tc>
          <w:tcPr>
            <w:tcW w:type="dxa" w:w="2520"/>
            <w:vAlign w:val="center"/>
          </w:tcPr>
          <w:p>
            <w:pPr>
              <w:spacing w:after="60"/>
            </w:pPr>
            <w:r>
              <w:rPr>
                <w:sz w:val="17"/>
              </w:rPr>
            </w:r>
            <w:r>
              <w:rPr>
                <w:b w:val="0"/>
                <w:sz w:val="17"/>
              </w:rPr>
              <w:t>Rs. 40,000</w:t>
            </w:r>
          </w:p>
        </w:tc>
        <w:tc>
          <w:tcPr>
            <w:tcW w:type="dxa" w:w="2520"/>
            <w:vAlign w:val="center"/>
          </w:tcPr>
          <w:p>
            <w:pPr>
              <w:spacing w:after="60"/>
            </w:pPr>
            <w:r>
              <w:rPr>
                <w:sz w:val="17"/>
              </w:rPr>
            </w:r>
            <w:r>
              <w:rPr>
                <w:b w:val="0"/>
                <w:sz w:val="17"/>
              </w:rPr>
              <w:t>Rs. 20,000</w:t>
            </w:r>
          </w:p>
        </w:tc>
        <w:tc>
          <w:tcPr>
            <w:tcW w:type="dxa" w:w="2520"/>
            <w:vAlign w:val="center"/>
          </w:tcPr>
          <w:p>
            <w:pPr>
              <w:spacing w:after="60"/>
            </w:pPr>
            <w:r>
              <w:rPr>
                <w:sz w:val="17"/>
              </w:rPr>
            </w:r>
            <w:r>
              <w:rPr>
                <w:b w:val="0"/>
                <w:sz w:val="17"/>
              </w:rPr>
              <w:t>Listed under M.Sc. courses section.</w:t>
            </w:r>
          </w:p>
        </w:tc>
      </w:tr>
      <w:tr>
        <w:tc>
          <w:tcPr>
            <w:tcW w:type="dxa" w:w="2520"/>
            <w:vAlign w:val="center"/>
          </w:tcPr>
          <w:p>
            <w:pPr>
              <w:spacing w:after="60"/>
            </w:pPr>
            <w:r>
              <w:rPr>
                <w:sz w:val="17"/>
              </w:rPr>
            </w:r>
            <w:r>
              <w:rPr>
                <w:b w:val="0"/>
                <w:sz w:val="17"/>
              </w:rPr>
              <w:t>M.A. English / Economics / Sociology / MSW</w:t>
            </w:r>
          </w:p>
        </w:tc>
        <w:tc>
          <w:tcPr>
            <w:tcW w:type="dxa" w:w="2520"/>
            <w:vAlign w:val="center"/>
          </w:tcPr>
          <w:p>
            <w:pPr>
              <w:spacing w:after="60"/>
            </w:pPr>
            <w:r>
              <w:rPr>
                <w:sz w:val="17"/>
              </w:rPr>
            </w:r>
            <w:r>
              <w:rPr>
                <w:b w:val="0"/>
                <w:sz w:val="17"/>
              </w:rPr>
              <w:t>Rs. 20,000</w:t>
            </w:r>
          </w:p>
        </w:tc>
        <w:tc>
          <w:tcPr>
            <w:tcW w:type="dxa" w:w="2520"/>
            <w:vAlign w:val="center"/>
          </w:tcPr>
          <w:p>
            <w:pPr>
              <w:spacing w:after="60"/>
            </w:pPr>
            <w:r>
              <w:rPr>
                <w:sz w:val="17"/>
              </w:rPr>
            </w:r>
            <w:r>
              <w:rPr>
                <w:b w:val="0"/>
                <w:sz w:val="17"/>
              </w:rPr>
              <w:t>Rs. 10,000</w:t>
            </w:r>
          </w:p>
        </w:tc>
        <w:tc>
          <w:tcPr>
            <w:tcW w:type="dxa" w:w="2520"/>
            <w:vAlign w:val="center"/>
          </w:tcPr>
          <w:p>
            <w:pPr>
              <w:spacing w:after="60"/>
            </w:pPr>
            <w:r>
              <w:rPr>
                <w:sz w:val="17"/>
              </w:rPr>
            </w:r>
            <w:r>
              <w:rPr>
                <w:b w:val="0"/>
                <w:sz w:val="17"/>
              </w:rPr>
              <w:t>Listed under M.A. courses section.</w:t>
            </w:r>
          </w:p>
        </w:tc>
      </w:tr>
      <w:tr>
        <w:tc>
          <w:tcPr>
            <w:tcW w:type="dxa" w:w="2520"/>
            <w:vAlign w:val="center"/>
          </w:tcPr>
          <w:p>
            <w:pPr>
              <w:spacing w:after="60"/>
            </w:pPr>
            <w:r>
              <w:rPr>
                <w:sz w:val="17"/>
              </w:rPr>
            </w:r>
            <w:r>
              <w:rPr>
                <w:b w:val="0"/>
                <w:sz w:val="17"/>
              </w:rPr>
              <w:t>B.Sc. Nursing - female candidates</w:t>
            </w:r>
          </w:p>
        </w:tc>
        <w:tc>
          <w:tcPr>
            <w:tcW w:type="dxa" w:w="2520"/>
            <w:vAlign w:val="center"/>
          </w:tcPr>
          <w:p>
            <w:pPr>
              <w:spacing w:after="60"/>
            </w:pPr>
            <w:r>
              <w:rPr>
                <w:sz w:val="17"/>
              </w:rPr>
            </w:r>
            <w:r>
              <w:rPr>
                <w:b w:val="0"/>
                <w:sz w:val="17"/>
              </w:rPr>
              <w:t>Rs. 80,000</w:t>
            </w:r>
          </w:p>
        </w:tc>
        <w:tc>
          <w:tcPr>
            <w:tcW w:type="dxa" w:w="2520"/>
            <w:vAlign w:val="center"/>
          </w:tcPr>
          <w:p>
            <w:pPr>
              <w:spacing w:after="60"/>
            </w:pPr>
            <w:r>
              <w:rPr>
                <w:sz w:val="17"/>
              </w:rPr>
            </w:r>
            <w:r>
              <w:rPr>
                <w:b w:val="0"/>
                <w:sz w:val="17"/>
              </w:rPr>
              <w:t>Rs. 40,000</w:t>
            </w:r>
          </w:p>
        </w:tc>
        <w:tc>
          <w:tcPr>
            <w:tcW w:type="dxa" w:w="2520"/>
            <w:vAlign w:val="center"/>
          </w:tcPr>
          <w:p>
            <w:pPr>
              <w:spacing w:after="60"/>
            </w:pPr>
            <w:r>
              <w:rPr>
                <w:sz w:val="17"/>
              </w:rPr>
            </w:r>
            <w:r>
              <w:rPr>
                <w:b w:val="0"/>
                <w:sz w:val="17"/>
              </w:rPr>
              <w:t>Listed under B.Sc. Nursing section.</w:t>
            </w:r>
          </w:p>
        </w:tc>
      </w:tr>
      <w:tr>
        <w:tc>
          <w:tcPr>
            <w:tcW w:type="dxa" w:w="2520"/>
            <w:vAlign w:val="center"/>
          </w:tcPr>
          <w:p>
            <w:pPr>
              <w:spacing w:after="60"/>
            </w:pPr>
            <w:r>
              <w:rPr>
                <w:sz w:val="17"/>
              </w:rPr>
            </w:r>
            <w:r>
              <w:rPr>
                <w:b w:val="0"/>
                <w:sz w:val="17"/>
              </w:rPr>
              <w:t>B.Sc. Nursing - male candidates</w:t>
            </w:r>
          </w:p>
        </w:tc>
        <w:tc>
          <w:tcPr>
            <w:tcW w:type="dxa" w:w="2520"/>
            <w:vAlign w:val="center"/>
          </w:tcPr>
          <w:p>
            <w:pPr>
              <w:spacing w:after="60"/>
            </w:pPr>
            <w:r>
              <w:rPr>
                <w:sz w:val="17"/>
              </w:rPr>
            </w:r>
            <w:r>
              <w:rPr>
                <w:b w:val="0"/>
                <w:sz w:val="17"/>
              </w:rPr>
              <w:t>Rs. 1,10,000</w:t>
            </w:r>
          </w:p>
        </w:tc>
        <w:tc>
          <w:tcPr>
            <w:tcW w:type="dxa" w:w="2520"/>
            <w:vAlign w:val="center"/>
          </w:tcPr>
          <w:p>
            <w:pPr>
              <w:spacing w:after="60"/>
            </w:pPr>
            <w:r>
              <w:rPr>
                <w:sz w:val="17"/>
              </w:rPr>
            </w:r>
            <w:r>
              <w:rPr>
                <w:b w:val="0"/>
                <w:sz w:val="17"/>
              </w:rPr>
              <w:t>Rs. 55,000</w:t>
            </w:r>
          </w:p>
        </w:tc>
        <w:tc>
          <w:tcPr>
            <w:tcW w:type="dxa" w:w="2520"/>
            <w:vAlign w:val="center"/>
          </w:tcPr>
          <w:p>
            <w:pPr>
              <w:spacing w:after="60"/>
            </w:pPr>
            <w:r>
              <w:rPr>
                <w:sz w:val="17"/>
              </w:rPr>
            </w:r>
            <w:r>
              <w:rPr>
                <w:b w:val="0"/>
                <w:sz w:val="17"/>
              </w:rPr>
              <w:t>Listed under B.Sc. Nursing section.</w:t>
            </w:r>
          </w:p>
        </w:tc>
      </w:tr>
      <w:tr>
        <w:tc>
          <w:tcPr>
            <w:tcW w:type="dxa" w:w="2520"/>
            <w:vAlign w:val="center"/>
          </w:tcPr>
          <w:p>
            <w:pPr>
              <w:spacing w:after="60"/>
            </w:pPr>
            <w:r>
              <w:rPr>
                <w:sz w:val="17"/>
              </w:rPr>
            </w:r>
            <w:r>
              <w:rPr>
                <w:b w:val="0"/>
                <w:sz w:val="17"/>
              </w:rPr>
              <w:t>Post Basic B.Sc. Nursing</w:t>
            </w:r>
          </w:p>
        </w:tc>
        <w:tc>
          <w:tcPr>
            <w:tcW w:type="dxa" w:w="2520"/>
            <w:vAlign w:val="center"/>
          </w:tcPr>
          <w:p>
            <w:pPr>
              <w:spacing w:after="60"/>
            </w:pPr>
            <w:r>
              <w:rPr>
                <w:sz w:val="17"/>
              </w:rPr>
            </w:r>
            <w:r>
              <w:rPr>
                <w:b w:val="0"/>
                <w:sz w:val="17"/>
              </w:rPr>
              <w:t>Rs. 75,000</w:t>
            </w:r>
          </w:p>
        </w:tc>
        <w:tc>
          <w:tcPr>
            <w:tcW w:type="dxa" w:w="2520"/>
            <w:vAlign w:val="center"/>
          </w:tcPr>
          <w:p>
            <w:pPr>
              <w:spacing w:after="60"/>
            </w:pPr>
            <w:r>
              <w:rPr>
                <w:sz w:val="17"/>
              </w:rPr>
            </w:r>
            <w:r>
              <w:rPr>
                <w:b w:val="0"/>
                <w:sz w:val="17"/>
              </w:rPr>
              <w:t>Rs. 37,500</w:t>
            </w:r>
          </w:p>
        </w:tc>
        <w:tc>
          <w:tcPr>
            <w:tcW w:type="dxa" w:w="2520"/>
            <w:vAlign w:val="center"/>
          </w:tcPr>
          <w:p>
            <w:pPr>
              <w:spacing w:after="60"/>
            </w:pPr>
            <w:r>
              <w:rPr>
                <w:sz w:val="17"/>
              </w:rPr>
            </w:r>
            <w:r>
              <w:rPr>
                <w:b w:val="0"/>
                <w:sz w:val="17"/>
              </w:rPr>
              <w:t>Listed under Post Basic B.Sc. Nursing section.</w:t>
            </w:r>
          </w:p>
        </w:tc>
      </w:tr>
      <w:tr>
        <w:tc>
          <w:tcPr>
            <w:tcW w:type="dxa" w:w="2520"/>
            <w:vAlign w:val="center"/>
          </w:tcPr>
          <w:p>
            <w:pPr>
              <w:spacing w:after="60"/>
            </w:pPr>
            <w:r>
              <w:rPr>
                <w:sz w:val="17"/>
              </w:rPr>
            </w:r>
            <w:r>
              <w:rPr>
                <w:b w:val="0"/>
                <w:sz w:val="17"/>
              </w:rPr>
              <w:t>Ph.D. - Technical programmes</w:t>
            </w:r>
          </w:p>
        </w:tc>
        <w:tc>
          <w:tcPr>
            <w:tcW w:type="dxa" w:w="2520"/>
            <w:vAlign w:val="center"/>
          </w:tcPr>
          <w:p>
            <w:pPr>
              <w:spacing w:after="60"/>
            </w:pPr>
            <w:r>
              <w:rPr>
                <w:sz w:val="17"/>
              </w:rPr>
            </w:r>
            <w:r>
              <w:rPr>
                <w:b w:val="0"/>
                <w:sz w:val="17"/>
              </w:rPr>
              <w:t>Rs. 75,000</w:t>
            </w:r>
          </w:p>
        </w:tc>
        <w:tc>
          <w:tcPr>
            <w:tcW w:type="dxa" w:w="2520"/>
            <w:vAlign w:val="center"/>
          </w:tcPr>
          <w:p>
            <w:pPr>
              <w:spacing w:after="60"/>
            </w:pPr>
            <w:r>
              <w:rPr>
                <w:sz w:val="17"/>
              </w:rPr>
            </w:r>
            <w:r>
              <w:rPr>
                <w:b w:val="0"/>
                <w:sz w:val="17"/>
              </w:rPr>
              <w:t>Rs. 37,500</w:t>
            </w:r>
          </w:p>
        </w:tc>
        <w:tc>
          <w:tcPr>
            <w:tcW w:type="dxa" w:w="2520"/>
            <w:vAlign w:val="center"/>
          </w:tcPr>
          <w:p>
            <w:pPr>
              <w:spacing w:after="60"/>
            </w:pPr>
            <w:r>
              <w:rPr>
                <w:sz w:val="17"/>
              </w:rPr>
            </w:r>
            <w:r>
              <w:rPr>
                <w:b w:val="0"/>
                <w:sz w:val="17"/>
              </w:rPr>
              <w:t>Listed under Ph.D. courses section.</w:t>
            </w:r>
          </w:p>
        </w:tc>
      </w:tr>
      <w:tr>
        <w:tc>
          <w:tcPr>
            <w:tcW w:type="dxa" w:w="2520"/>
            <w:vAlign w:val="center"/>
          </w:tcPr>
          <w:p>
            <w:pPr>
              <w:spacing w:after="60"/>
            </w:pPr>
            <w:r>
              <w:rPr>
                <w:sz w:val="17"/>
              </w:rPr>
            </w:r>
            <w:r>
              <w:rPr>
                <w:b w:val="0"/>
                <w:sz w:val="17"/>
              </w:rPr>
              <w:t>Ph.D. - Non-technical programmes</w:t>
            </w:r>
          </w:p>
        </w:tc>
        <w:tc>
          <w:tcPr>
            <w:tcW w:type="dxa" w:w="2520"/>
            <w:vAlign w:val="center"/>
          </w:tcPr>
          <w:p>
            <w:pPr>
              <w:spacing w:after="60"/>
            </w:pPr>
            <w:r>
              <w:rPr>
                <w:sz w:val="17"/>
              </w:rPr>
            </w:r>
            <w:r>
              <w:rPr>
                <w:b w:val="0"/>
                <w:sz w:val="17"/>
              </w:rPr>
              <w:t>Rs. 50,000</w:t>
            </w:r>
          </w:p>
        </w:tc>
        <w:tc>
          <w:tcPr>
            <w:tcW w:type="dxa" w:w="2520"/>
            <w:vAlign w:val="center"/>
          </w:tcPr>
          <w:p>
            <w:pPr>
              <w:spacing w:after="60"/>
            </w:pPr>
            <w:r>
              <w:rPr>
                <w:sz w:val="17"/>
              </w:rPr>
            </w:r>
            <w:r>
              <w:rPr>
                <w:b w:val="0"/>
                <w:sz w:val="17"/>
              </w:rPr>
              <w:t>Rs. 25,000</w:t>
            </w:r>
          </w:p>
        </w:tc>
        <w:tc>
          <w:tcPr>
            <w:tcW w:type="dxa" w:w="2520"/>
            <w:vAlign w:val="center"/>
          </w:tcPr>
          <w:p>
            <w:pPr>
              <w:spacing w:after="60"/>
            </w:pPr>
            <w:r>
              <w:rPr>
                <w:sz w:val="17"/>
              </w:rPr>
            </w:r>
            <w:r>
              <w:rPr>
                <w:b w:val="0"/>
                <w:sz w:val="17"/>
              </w:rPr>
              <w:t>Listed under Ph.D. courses section.</w:t>
            </w:r>
          </w:p>
        </w:tc>
      </w:tr>
    </w:tbl>
    <w:p>
      <w:pPr>
        <w:pStyle w:val="Heading1"/>
      </w:pPr>
      <w:r>
        <w:rPr>
          <w:color w:val="1F4E79"/>
        </w:rPr>
        <w:t>3. Refund conditions</w:t>
      </w:r>
    </w:p>
    <w:p>
      <w:r>
        <w:t>The official GIET University refund and cancellation policy states that amounts paid through the payment gateway are not refunded except in specific technical-payment situations. The policy identifies the following refundable cases:</w:t>
      </w:r>
    </w:p>
    <w:p>
      <w:pPr>
        <w:pStyle w:val="ListBullet"/>
      </w:pPr>
      <w:r>
        <w:t>Multiple debits from the customer card or bank account due to a technical error.</w:t>
      </w:r>
    </w:p>
    <w:p>
      <w:pPr>
        <w:pStyle w:val="ListBullet"/>
      </w:pPr>
      <w:r>
        <w:t>Excess amount debited in a single transaction due to a technical error; in this case, excess amount excluding payment-gateway charges may be refunded.</w:t>
      </w:r>
    </w:p>
    <w:p>
      <w:pPr>
        <w:pStyle w:val="ListBullet"/>
      </w:pPr>
      <w:r>
        <w:t>Payment charged due to a technical error but enrolment for the examination is unsuccessful; the customer may receive enrolment at no extra cost or may seek refund after deduction of payment-gateway/other charges.</w:t>
      </w:r>
    </w:p>
    <w:p>
      <w:pPr>
        <w:pStyle w:val="Heading1"/>
      </w:pPr>
      <w:r>
        <w:rPr>
          <w:color w:val="1F4E79"/>
        </w:rPr>
        <w:t>4. Refund application process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c>
          <w:tcPr>
            <w:tcW w:type="dxa" w:w="3360"/>
            <w:vAlign w:val="center"/>
            <w:shd w:fill="1F4E79"/>
          </w:tcPr>
          <w:p>
            <w:r/>
            <w:r>
              <w:rPr>
                <w:b/>
                <w:color w:val="FFFFFF"/>
              </w:rPr>
              <w:t>Step</w:t>
            </w:r>
          </w:p>
        </w:tc>
        <w:tc>
          <w:tcPr>
            <w:tcW w:type="dxa" w:w="3360"/>
            <w:vAlign w:val="center"/>
            <w:shd w:fill="1F4E79"/>
          </w:tcPr>
          <w:p>
            <w:r/>
            <w:r>
              <w:rPr>
                <w:b/>
                <w:color w:val="FFFFFF"/>
              </w:rPr>
              <w:t>Action</w:t>
            </w:r>
          </w:p>
        </w:tc>
        <w:tc>
          <w:tcPr>
            <w:tcW w:type="dxa" w:w="3360"/>
            <w:vAlign w:val="center"/>
            <w:shd w:fill="1F4E79"/>
          </w:tcPr>
          <w:p>
            <w:r/>
            <w:r>
              <w:rPr>
                <w:b/>
                <w:color w:val="FFFFFF"/>
              </w:rPr>
              <w:t>Condition / detail</w:t>
            </w:r>
          </w:p>
        </w:tc>
      </w:tr>
      <w:tr>
        <w:tc>
          <w:tcPr>
            <w:tcW w:type="dxa" w:w="3360"/>
            <w:vAlign w:val="center"/>
          </w:tcPr>
          <w:p>
            <w:r/>
            <w:r>
              <w:rPr>
                <w:b w:val="0"/>
              </w:rPr>
              <w:t>1</w:t>
            </w:r>
          </w:p>
        </w:tc>
        <w:tc>
          <w:tcPr>
            <w:tcW w:type="dxa" w:w="3360"/>
            <w:vAlign w:val="center"/>
          </w:tcPr>
          <w:p>
            <w:r/>
            <w:r>
              <w:rPr>
                <w:b w:val="0"/>
              </w:rPr>
              <w:t>Prepare refund request</w:t>
            </w:r>
          </w:p>
        </w:tc>
        <w:tc>
          <w:tcPr>
            <w:tcW w:type="dxa" w:w="3360"/>
            <w:vAlign w:val="center"/>
          </w:tcPr>
          <w:p>
            <w:r/>
            <w:r>
              <w:rPr>
                <w:b w:val="0"/>
              </w:rPr>
              <w:t>Student/customer should submit a refund application with transaction number and original payment receipt, if generated at payment time.</w:t>
            </w:r>
          </w:p>
        </w:tc>
      </w:tr>
      <w:tr>
        <w:tc>
          <w:tcPr>
            <w:tcW w:type="dxa" w:w="3360"/>
            <w:vAlign w:val="center"/>
          </w:tcPr>
          <w:p>
            <w:r/>
            <w:r>
              <w:rPr>
                <w:b w:val="0"/>
              </w:rPr>
              <w:t>2</w:t>
            </w:r>
          </w:p>
        </w:tc>
        <w:tc>
          <w:tcPr>
            <w:tcW w:type="dxa" w:w="3360"/>
            <w:vAlign w:val="center"/>
          </w:tcPr>
          <w:p>
            <w:r/>
            <w:r>
              <w:rPr>
                <w:b w:val="0"/>
              </w:rPr>
              <w:t>Send request</w:t>
            </w:r>
          </w:p>
        </w:tc>
        <w:tc>
          <w:tcPr>
            <w:tcW w:type="dxa" w:w="3360"/>
            <w:vAlign w:val="center"/>
          </w:tcPr>
          <w:p>
            <w:r/>
            <w:r>
              <w:rPr>
                <w:b w:val="0"/>
              </w:rPr>
              <w:t>The official policy mentions sending the application in the prescribed format to accounts@giet.edu.</w:t>
            </w:r>
          </w:p>
        </w:tc>
      </w:tr>
      <w:tr>
        <w:tc>
          <w:tcPr>
            <w:tcW w:type="dxa" w:w="3360"/>
            <w:vAlign w:val="center"/>
          </w:tcPr>
          <w:p>
            <w:r/>
            <w:r>
              <w:rPr>
                <w:b w:val="0"/>
              </w:rPr>
              <w:t>3</w:t>
            </w:r>
          </w:p>
        </w:tc>
        <w:tc>
          <w:tcPr>
            <w:tcW w:type="dxa" w:w="3360"/>
            <w:vAlign w:val="center"/>
          </w:tcPr>
          <w:p>
            <w:r/>
            <w:r>
              <w:rPr>
                <w:b w:val="0"/>
              </w:rPr>
              <w:t>Manual verification</w:t>
            </w:r>
          </w:p>
        </w:tc>
        <w:tc>
          <w:tcPr>
            <w:tcW w:type="dxa" w:w="3360"/>
            <w:vAlign w:val="center"/>
          </w:tcPr>
          <w:p>
            <w:r/>
            <w:r>
              <w:rPr>
                <w:b w:val="0"/>
              </w:rPr>
              <w:t>The application is processed manually and verified.</w:t>
            </w:r>
          </w:p>
        </w:tc>
      </w:tr>
      <w:tr>
        <w:tc>
          <w:tcPr>
            <w:tcW w:type="dxa" w:w="3360"/>
            <w:vAlign w:val="center"/>
          </w:tcPr>
          <w:p>
            <w:r/>
            <w:r>
              <w:rPr>
                <w:b w:val="0"/>
              </w:rPr>
              <w:t>4</w:t>
            </w:r>
          </w:p>
        </w:tc>
        <w:tc>
          <w:tcPr>
            <w:tcW w:type="dxa" w:w="3360"/>
            <w:vAlign w:val="center"/>
          </w:tcPr>
          <w:p>
            <w:r/>
            <w:r>
              <w:rPr>
                <w:b w:val="0"/>
              </w:rPr>
              <w:t>Refund mode and timeline</w:t>
            </w:r>
          </w:p>
        </w:tc>
        <w:tc>
          <w:tcPr>
            <w:tcW w:type="dxa" w:w="3360"/>
            <w:vAlign w:val="center"/>
          </w:tcPr>
          <w:p>
            <w:r/>
            <w:r>
              <w:rPr>
                <w:b w:val="0"/>
              </w:rPr>
              <w:t>If claim is valid, excess amount is refunded electronically. The official policy says confirmation is sent to the mailing address and mentions processing within 21 calendar days of receipt of claim; bank credit may take 3-21 days depending on bank policy.</w:t>
            </w:r>
          </w:p>
        </w:tc>
      </w:tr>
    </w:tbl>
    <w:p>
      <w:pPr>
        <w:pStyle w:val="Heading1"/>
      </w:pPr>
      <w:r>
        <w:rPr>
          <w:color w:val="1F4E79"/>
        </w:rPr>
        <w:t>5. Non-liability / failed payment conditions</w:t>
      </w:r>
    </w:p>
    <w:p>
      <w:r>
        <w:t>The official refund/cancellation policy also states that GIET University assumes no responsibility and incurs no liability if it is unable to affect payment instructions on the payment date for reasons such as incomplete or invalid payment instructions, insufficient funds/limits, encumbered funds, refusal or delay by bank/NCC, circumstances beyond the control of the university, or other payment failure reasons. In case payment is not effected, the policy states that the user will be intimated about the failed payment by email.</w:t>
      </w:r>
    </w:p>
    <w:p>
      <w:pPr>
        <w:pStyle w:val="Heading1"/>
      </w:pPr>
      <w:r>
        <w:rPr>
          <w:color w:val="1F4E79"/>
        </w:rPr>
        <w:t>6. Student checklist before payment</w:t>
      </w:r>
    </w:p>
    <w:p>
      <w:pPr>
        <w:pStyle w:val="ListBullet"/>
      </w:pPr>
      <w:r>
        <w:t>Check the exact programme name and specialization before paying.</w:t>
      </w:r>
    </w:p>
    <w:p>
      <w:pPr>
        <w:pStyle w:val="ListBullet"/>
      </w:pPr>
      <w:r>
        <w:t>Confirm whether the amount is annual, semester-wise, hostel/mess related, or any other charge.</w:t>
      </w:r>
    </w:p>
    <w:p>
      <w:pPr>
        <w:pStyle w:val="ListBullet"/>
      </w:pPr>
      <w:r>
        <w:t>Save payment receipt, transaction number, date/time, bank reference number and registered email/mobile details.</w:t>
      </w:r>
    </w:p>
    <w:p>
      <w:pPr>
        <w:pStyle w:val="ListBullet"/>
      </w:pPr>
      <w:r>
        <w:t>If double debit or excess debit occurs, raise the refund request immediately with proof.</w:t>
      </w:r>
    </w:p>
    <w:p>
      <w:pPr>
        <w:pStyle w:val="ListBullet"/>
      </w:pPr>
      <w:r>
        <w:t>For admission withdrawal/refund beyond technical payment errors, verify the latest university notice and UGC/competent authority guidelines applicable for the academic year.</w:t>
      </w:r>
    </w:p>
    <w:p>
      <w:pPr>
        <w:pStyle w:val="Heading1"/>
      </w:pPr>
      <w:r>
        <w:rPr>
          <w:color w:val="1F4E79"/>
        </w:rPr>
        <w:t>7. Official references used</w:t>
      </w:r>
    </w:p>
    <w:p>
      <w:pPr>
        <w:pStyle w:val="ListBullet"/>
      </w:pPr>
      <w:r>
        <w:rPr>
          <w:b/>
        </w:rPr>
        <w:t xml:space="preserve">GIET University - Programmes &amp; Fee Structure: </w:t>
      </w:r>
      <w:r>
        <w:t>https://www.giet.edu/admissions/programmes-fee-structure/</w:t>
      </w:r>
    </w:p>
    <w:p>
      <w:pPr>
        <w:pStyle w:val="ListBullet"/>
      </w:pPr>
      <w:r>
        <w:rPr>
          <w:b/>
        </w:rPr>
        <w:t xml:space="preserve">GIET University - Fees Structure for all courses of GIETU Gunupur for Academic Session 2024-25: </w:t>
      </w:r>
      <w:r>
        <w:t>https://www.giet.edu/wp-content/uploads/2025/05/FEES-STRUCTRUCTURE-FOR-2024-OF-GIETU-GUNUPUR.pdf</w:t>
      </w:r>
    </w:p>
    <w:p>
      <w:pPr>
        <w:pStyle w:val="ListBullet"/>
      </w:pPr>
      <w:r>
        <w:rPr>
          <w:b/>
        </w:rPr>
        <w:t xml:space="preserve">GIET University - Refund and Cancellation Policy: </w:t>
      </w:r>
      <w:r>
        <w:t>https://www.giet.edu/refund-and-cancellation-policy/</w:t>
      </w:r>
    </w:p>
    <w:p>
      <w:pPr>
        <w:pStyle w:val="ListBullet"/>
      </w:pPr>
      <w:r>
        <w:rPr>
          <w:b/>
        </w:rPr>
        <w:t xml:space="preserve">UGC Fee Refund Policy 2025-26: </w:t>
      </w:r>
      <w:r>
        <w:t>https://www.ugc.gov.in/pdfnews/1857727_Fee-Refund-Policy-2025-26.pdf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fee_and_refund_policy.docx | Prepared as a student reference from official/public 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Kaushal Kumar(IN7824)</dc:creator>
  <keywords/>
  <dc:description>generated by python-docx</dc:description>
  <lastModifiedBy>Kaushal Kumar(IN7824)</lastModifiedBy>
  <revision>1</revision>
  <dcterms:created xsi:type="dcterms:W3CDTF">2026-07-15T15:33:26.5233653Z</dcterms:created>
  <dcterms:modified xsi:type="dcterms:W3CDTF">2026-07-15T15:33:26.5233653Z</dcterms:modified>
  <category/>
</coreProperties>
</file>