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1774D37D" w:rsidR="00070F41" w:rsidRDefault="004C1054">
      <w:r>
        <w:rPr>
          <w:noProof/>
        </w:rPr>
        <w:drawing>
          <wp:anchor distT="0" distB="0" distL="114300" distR="114300" simplePos="0" relativeHeight="251661312" behindDoc="0" locked="0" layoutInCell="1" allowOverlap="1" wp14:anchorId="437EB1C9" wp14:editId="61AAA64D">
            <wp:simplePos x="0" y="0"/>
            <wp:positionH relativeFrom="margin">
              <wp:posOffset>133350</wp:posOffset>
            </wp:positionH>
            <wp:positionV relativeFrom="paragraph">
              <wp:posOffset>142875</wp:posOffset>
            </wp:positionV>
            <wp:extent cx="5585460" cy="4222750"/>
            <wp:effectExtent l="0" t="0" r="15240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6C00" w14:textId="1688822E" w:rsidR="000F320A" w:rsidRDefault="000F320A"/>
    <w:p w14:paraId="763DE50F" w14:textId="21460D31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anchor distT="0" distB="0" distL="114300" distR="114300" simplePos="0" relativeHeight="251662336" behindDoc="0" locked="0" layoutInCell="1" allowOverlap="1" wp14:anchorId="6F360C4F" wp14:editId="59E6A865">
            <wp:simplePos x="0" y="0"/>
            <wp:positionH relativeFrom="column">
              <wp:posOffset>38100</wp:posOffset>
            </wp:positionH>
            <wp:positionV relativeFrom="paragraph">
              <wp:posOffset>4277360</wp:posOffset>
            </wp:positionV>
            <wp:extent cx="5585460" cy="4265930"/>
            <wp:effectExtent l="0" t="0" r="15240" b="12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3D0A6F2D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7EB78DAD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70F41" w:rsidRDefault="00070F41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70F41" w:rsidRDefault="00070F41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070F41" w:rsidRPr="00E57E2A" w:rsidRDefault="00070F41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070F41" w:rsidRPr="00E57E2A" w:rsidRDefault="00070F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70F41" w:rsidRDefault="00070F41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70F41" w:rsidRDefault="00070F41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070F41" w:rsidRPr="00E57E2A" w:rsidRDefault="00070F41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070F41" w:rsidRPr="00E57E2A" w:rsidRDefault="00070F41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429690B6" w14:textId="253A5B6E" w:rsidR="00070F41" w:rsidRDefault="00070F41" w:rsidP="00021B89">
      <w:pPr>
        <w:widowControl w:val="0"/>
        <w:autoSpaceDE w:val="0"/>
        <w:autoSpaceDN w:val="0"/>
        <w:adjustRightInd w:val="0"/>
        <w:spacing w:after="0" w:line="240" w:lineRule="auto"/>
      </w:pPr>
    </w:p>
    <w:p w14:paraId="4AD23F1C" w14:textId="77777777" w:rsidR="00070F41" w:rsidRDefault="00070F41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</w:t>
      </w:r>
      <w:r>
        <w:rPr>
          <w:rFonts w:ascii="Consolas" w:hAnsi="Consolas" w:cs="Consolas"/>
          <w:sz w:val="20"/>
          <w:szCs w:val="20"/>
        </w:rPr>
        <w:lastRenderedPageBreak/>
        <w:t>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-0.32246       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-0.13187       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24</w:t>
      </w:r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25</w:t>
      </w:r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89</w:t>
      </w:r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  <w:bookmarkStart w:id="0" w:name="_GoBack"/>
      <w:bookmarkEnd w:id="0"/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qQUAKVESmSwAAAA="/>
  </w:docVars>
  <w:rsids>
    <w:rsidRoot w:val="000F320A"/>
    <w:rsid w:val="00021B89"/>
    <w:rsid w:val="00056EB7"/>
    <w:rsid w:val="00070F41"/>
    <w:rsid w:val="00085E27"/>
    <w:rsid w:val="000E0EC5"/>
    <w:rsid w:val="000F320A"/>
    <w:rsid w:val="000F4EBF"/>
    <w:rsid w:val="001B4291"/>
    <w:rsid w:val="00230428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Total root length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33</Pages>
  <Words>6596</Words>
  <Characters>37598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17</cp:revision>
  <dcterms:created xsi:type="dcterms:W3CDTF">2018-12-15T10:10:00Z</dcterms:created>
  <dcterms:modified xsi:type="dcterms:W3CDTF">2018-12-18T12:42:00Z</dcterms:modified>
</cp:coreProperties>
</file>