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A35F" w14:textId="7C3C3132" w:rsidR="00A30FFD" w:rsidRDefault="00A30FFD">
      <w:r>
        <w:rPr>
          <w:noProof/>
        </w:rPr>
        <w:drawing>
          <wp:anchor distT="0" distB="0" distL="114300" distR="114300" simplePos="0" relativeHeight="251659264" behindDoc="0" locked="0" layoutInCell="1" allowOverlap="1" wp14:anchorId="121C3372" wp14:editId="051559A4">
            <wp:simplePos x="0" y="0"/>
            <wp:positionH relativeFrom="margin">
              <wp:posOffset>-57150</wp:posOffset>
            </wp:positionH>
            <wp:positionV relativeFrom="paragraph">
              <wp:posOffset>0</wp:posOffset>
            </wp:positionV>
            <wp:extent cx="6596380" cy="8753475"/>
            <wp:effectExtent l="0" t="0" r="13970" b="952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84D347C-D477-4222-BF83-5351744F4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08C1AC8" w14:textId="4805368F" w:rsidR="00A30FFD" w:rsidRDefault="00A30FFD"/>
    <w:p w14:paraId="0B0AE425" w14:textId="3BDF0AE7" w:rsidR="00EB0AB4" w:rsidRDefault="00EB0AB4"/>
    <w:tbl>
      <w:tblPr>
        <w:tblpPr w:leftFromText="180" w:rightFromText="180" w:vertAnchor="text" w:horzAnchor="margin" w:tblpXSpec="center" w:tblpY="212"/>
        <w:tblW w:w="9762" w:type="dxa"/>
        <w:tblLook w:val="04A0" w:firstRow="1" w:lastRow="0" w:firstColumn="1" w:lastColumn="0" w:noHBand="0" w:noVBand="1"/>
      </w:tblPr>
      <w:tblGrid>
        <w:gridCol w:w="1888"/>
        <w:gridCol w:w="1908"/>
        <w:gridCol w:w="1727"/>
        <w:gridCol w:w="1808"/>
        <w:gridCol w:w="2431"/>
      </w:tblGrid>
      <w:tr w:rsidR="00EB0AB4" w:rsidRPr="00EB0AB4" w14:paraId="37968706" w14:textId="77777777" w:rsidTr="00EB0AB4">
        <w:trPr>
          <w:trHeight w:val="633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9985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8B63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Broadcasting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296A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Random Transplanting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6FD3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Mechanical Transplanting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9A7E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Parachute</w:t>
            </w:r>
          </w:p>
        </w:tc>
      </w:tr>
      <w:tr w:rsidR="00EB0AB4" w:rsidRPr="00EB0AB4" w14:paraId="28B546CC" w14:textId="77777777" w:rsidTr="00EB0AB4">
        <w:trPr>
          <w:trHeight w:val="633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D45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C073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EF3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F3E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427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5.22</w:t>
            </w:r>
          </w:p>
        </w:tc>
      </w:tr>
      <w:tr w:rsidR="00EB0AB4" w:rsidRPr="00EB0AB4" w14:paraId="19169A07" w14:textId="77777777" w:rsidTr="00EB0AB4">
        <w:trPr>
          <w:trHeight w:val="633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B8F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49D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13C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7.43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7C3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7.883333333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89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7.95</w:t>
            </w:r>
          </w:p>
        </w:tc>
      </w:tr>
      <w:tr w:rsidR="00EB0AB4" w:rsidRPr="00EB0AB4" w14:paraId="45D64EAC" w14:textId="77777777" w:rsidTr="00EB0AB4">
        <w:trPr>
          <w:trHeight w:val="633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CD39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AC8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10.99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2A1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10.82333333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574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11.03666667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0AB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11.07466667</w:t>
            </w:r>
          </w:p>
        </w:tc>
      </w:tr>
      <w:tr w:rsidR="00EB0AB4" w:rsidRPr="00EB0AB4" w14:paraId="72597F2C" w14:textId="77777777" w:rsidTr="00EB0AB4">
        <w:trPr>
          <w:trHeight w:val="633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F2C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85E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16.15666667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CA2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15.86333333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29D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16.00666667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02DC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16.10333333</w:t>
            </w:r>
          </w:p>
        </w:tc>
      </w:tr>
    </w:tbl>
    <w:p w14:paraId="76B200E1" w14:textId="25D8A416" w:rsidR="00EB0AB4" w:rsidRDefault="00EB0AB4"/>
    <w:p w14:paraId="031BACA6" w14:textId="6E709F3C" w:rsidR="00EB0AB4" w:rsidRDefault="00EB0AB4"/>
    <w:tbl>
      <w:tblPr>
        <w:tblpPr w:leftFromText="180" w:rightFromText="180" w:vertAnchor="page" w:horzAnchor="margin" w:tblpXSpec="center" w:tblpY="6211"/>
        <w:tblW w:w="9720" w:type="dxa"/>
        <w:tblLook w:val="04A0" w:firstRow="1" w:lastRow="0" w:firstColumn="1" w:lastColumn="0" w:noHBand="0" w:noVBand="1"/>
      </w:tblPr>
      <w:tblGrid>
        <w:gridCol w:w="1880"/>
        <w:gridCol w:w="1900"/>
        <w:gridCol w:w="1720"/>
        <w:gridCol w:w="1800"/>
        <w:gridCol w:w="2420"/>
      </w:tblGrid>
      <w:tr w:rsidR="00EB0AB4" w:rsidRPr="00EB0AB4" w14:paraId="3535157F" w14:textId="77777777" w:rsidTr="00EB0AB4">
        <w:trPr>
          <w:trHeight w:val="63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2882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DAS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CB62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Broadcasting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455F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Random Transplanting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0E06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Mechanical Transplanting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E515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Parachute</w:t>
            </w:r>
          </w:p>
        </w:tc>
      </w:tr>
      <w:tr w:rsidR="00EB0AB4" w:rsidRPr="00EB0AB4" w14:paraId="4E900C5C" w14:textId="77777777" w:rsidTr="00EB0AB4">
        <w:trPr>
          <w:trHeight w:val="58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6BD2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4A7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4.503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24F2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5.386666667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4BD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5.266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DDC8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5.266666667</w:t>
            </w:r>
          </w:p>
        </w:tc>
      </w:tr>
      <w:tr w:rsidR="00EB0AB4" w:rsidRPr="00EB0AB4" w14:paraId="4CDB2851" w14:textId="77777777" w:rsidTr="00EB0AB4">
        <w:trPr>
          <w:trHeight w:val="6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02F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58AC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B41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E9D9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8.37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E28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8.456666667</w:t>
            </w:r>
          </w:p>
        </w:tc>
      </w:tr>
      <w:tr w:rsidR="00EB0AB4" w:rsidRPr="00EB0AB4" w14:paraId="6F79FE80" w14:textId="77777777" w:rsidTr="00EB0AB4">
        <w:trPr>
          <w:trHeight w:val="6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974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345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A905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11.28333333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269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11.31333333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5FC5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11.43666667</w:t>
            </w:r>
          </w:p>
        </w:tc>
      </w:tr>
      <w:tr w:rsidR="00EB0AB4" w:rsidRPr="00EB0AB4" w14:paraId="79897B80" w14:textId="77777777" w:rsidTr="00EB0AB4">
        <w:trPr>
          <w:trHeight w:val="6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711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F558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17.34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1752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16.88333333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834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17.08333333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F023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17.17</w:t>
            </w:r>
          </w:p>
        </w:tc>
      </w:tr>
    </w:tbl>
    <w:p w14:paraId="7199C27F" w14:textId="77777777" w:rsidR="00EB0AB4" w:rsidRDefault="00EB0AB4"/>
    <w:p w14:paraId="79515F31" w14:textId="71FDB0EF" w:rsidR="00A30FFD" w:rsidRDefault="00A30FF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98FA74" wp14:editId="2C79B663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6972300" cy="8606155"/>
            <wp:effectExtent l="0" t="0" r="0" b="444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AE9F55E" w14:textId="77777777" w:rsidR="00A038B7" w:rsidRDefault="00A038B7"/>
    <w:p w14:paraId="5B7ABAE6" w14:textId="77777777" w:rsidR="00A038B7" w:rsidRDefault="00A038B7">
      <w:r>
        <w:br w:type="page"/>
      </w:r>
    </w:p>
    <w:p w14:paraId="36C102B3" w14:textId="77777777" w:rsidR="00A038B7" w:rsidRDefault="00A038B7"/>
    <w:p w14:paraId="54F09228" w14:textId="77777777" w:rsidR="00A038B7" w:rsidRDefault="00A038B7">
      <w:r>
        <w:br w:type="page"/>
      </w:r>
    </w:p>
    <w:p w14:paraId="7A76283D" w14:textId="77777777" w:rsidR="00A038B7" w:rsidRDefault="00A038B7"/>
    <w:p w14:paraId="72A94189" w14:textId="77777777" w:rsidR="00A038B7" w:rsidRDefault="00A038B7">
      <w:r>
        <w:br w:type="page"/>
      </w:r>
    </w:p>
    <w:p w14:paraId="6B0ED8FE" w14:textId="77777777" w:rsidR="00A038B7" w:rsidRDefault="00A038B7"/>
    <w:p w14:paraId="3AE9BC23" w14:textId="77777777" w:rsidR="00A038B7" w:rsidRDefault="00A038B7">
      <w:r>
        <w:br w:type="page"/>
      </w:r>
    </w:p>
    <w:p w14:paraId="35421102" w14:textId="7676DDB7" w:rsidR="00A038B7" w:rsidRDefault="00A038B7"/>
    <w:p w14:paraId="4924BCF3" w14:textId="77777777" w:rsidR="00A038B7" w:rsidRDefault="00A038B7">
      <w:bookmarkStart w:id="0" w:name="_GoBack"/>
      <w:bookmarkEnd w:id="0"/>
    </w:p>
    <w:p w14:paraId="29920C7F" w14:textId="39D27CBE" w:rsidR="00A038B7" w:rsidRPr="00A038B7" w:rsidRDefault="00A038B7" w:rsidP="00A038B7">
      <w:pPr>
        <w:jc w:val="center"/>
        <w:rPr>
          <w:b/>
          <w:sz w:val="144"/>
          <w:szCs w:val="144"/>
        </w:rPr>
      </w:pPr>
      <w:r w:rsidRPr="00A038B7">
        <w:rPr>
          <w:b/>
          <w:sz w:val="144"/>
          <w:szCs w:val="144"/>
        </w:rPr>
        <w:t>Data after field establishment</w:t>
      </w:r>
      <w:r w:rsidRPr="00A038B7">
        <w:rPr>
          <w:b/>
          <w:sz w:val="144"/>
          <w:szCs w:val="144"/>
        </w:rPr>
        <w:br w:type="page"/>
      </w:r>
    </w:p>
    <w:p w14:paraId="0FFD951C" w14:textId="42935789" w:rsidR="00A30FFD" w:rsidRDefault="00EB0AB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561F06" wp14:editId="13951A5F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6858000" cy="6048375"/>
            <wp:effectExtent l="0" t="0" r="0" b="952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924B899-DF11-49F3-A6B3-6285F0A449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50" w:type="dxa"/>
        <w:tblLook w:val="04A0" w:firstRow="1" w:lastRow="0" w:firstColumn="1" w:lastColumn="0" w:noHBand="0" w:noVBand="1"/>
      </w:tblPr>
      <w:tblGrid>
        <w:gridCol w:w="2044"/>
        <w:gridCol w:w="1935"/>
        <w:gridCol w:w="2305"/>
        <w:gridCol w:w="2174"/>
        <w:gridCol w:w="2392"/>
      </w:tblGrid>
      <w:tr w:rsidR="00EB0AB4" w:rsidRPr="00EB0AB4" w14:paraId="24ECA75F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575A" w14:textId="77777777" w:rsidR="00EB0AB4" w:rsidRPr="00EB0AB4" w:rsidRDefault="00EB0AB4" w:rsidP="00EB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F62F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1E6C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FBA9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67ED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</w:tr>
      <w:tr w:rsidR="00EB0AB4" w:rsidRPr="00EB0AB4" w14:paraId="6A95627C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AAC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324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64.16666667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4D73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28.33333333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055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16.66666667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251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B0AB4" w:rsidRPr="00EB0AB4" w14:paraId="31284711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1B8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7DE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1CF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56.19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A26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C9C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35.83333333</w:t>
            </w:r>
          </w:p>
        </w:tc>
      </w:tr>
      <w:tr w:rsidR="00EB0AB4" w:rsidRPr="00EB0AB4" w14:paraId="6E860256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143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69C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85.83333333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272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75.419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C28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CC0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59.16666667</w:t>
            </w:r>
          </w:p>
        </w:tc>
      </w:tr>
      <w:tr w:rsidR="00EB0AB4" w:rsidRPr="00EB0AB4" w14:paraId="245F55D5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818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079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CBE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81.66666667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572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4A5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76.66666667</w:t>
            </w:r>
          </w:p>
        </w:tc>
      </w:tr>
      <w:tr w:rsidR="00EB0AB4" w:rsidRPr="00EB0AB4" w14:paraId="2498EA47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9F0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906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B17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81.66666667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E70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7AA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76.66666667</w:t>
            </w:r>
          </w:p>
        </w:tc>
      </w:tr>
      <w:tr w:rsidR="00EB0AB4" w:rsidRPr="00EB0AB4" w14:paraId="13390232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7392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7059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C4A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90.83333333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D91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3D8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90.83333333</w:t>
            </w:r>
          </w:p>
        </w:tc>
      </w:tr>
    </w:tbl>
    <w:p w14:paraId="711C5E51" w14:textId="02553B59" w:rsidR="00A30FFD" w:rsidRDefault="00A30FFD">
      <w:r>
        <w:br w:type="page"/>
      </w:r>
    </w:p>
    <w:p w14:paraId="28CD3D2E" w14:textId="77777777" w:rsidR="00EB0AB4" w:rsidRDefault="00EB0AB4"/>
    <w:p w14:paraId="5DD47723" w14:textId="1F5F74C4" w:rsidR="00A30FFD" w:rsidRDefault="00EB0AB4">
      <w:r>
        <w:rPr>
          <w:noProof/>
        </w:rPr>
        <w:drawing>
          <wp:inline distT="0" distB="0" distL="0" distR="0" wp14:anchorId="2C0F3C4D" wp14:editId="2D2446B0">
            <wp:extent cx="6858000" cy="60769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89E24AA-3FDE-4929-8793-1BAC95426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10778" w:type="dxa"/>
        <w:tblLook w:val="04A0" w:firstRow="1" w:lastRow="0" w:firstColumn="1" w:lastColumn="0" w:noHBand="0" w:noVBand="1"/>
      </w:tblPr>
      <w:tblGrid>
        <w:gridCol w:w="1507"/>
        <w:gridCol w:w="1815"/>
        <w:gridCol w:w="2248"/>
        <w:gridCol w:w="2403"/>
        <w:gridCol w:w="2805"/>
      </w:tblGrid>
      <w:tr w:rsidR="00EB0AB4" w:rsidRPr="00EB0AB4" w14:paraId="3F3A1268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5AFD" w14:textId="77777777" w:rsidR="00EB0AB4" w:rsidRPr="00EB0AB4" w:rsidRDefault="00EB0AB4" w:rsidP="00EB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7E11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2A10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AA7C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4EDC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</w:tr>
      <w:tr w:rsidR="00EB0AB4" w:rsidRPr="00EB0AB4" w14:paraId="1F046E45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FA5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D925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41.666667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109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31.66666667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75B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15.83333333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7C33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19.16666667</w:t>
            </w:r>
          </w:p>
        </w:tc>
      </w:tr>
      <w:tr w:rsidR="00EB0AB4" w:rsidRPr="00EB0AB4" w14:paraId="63217181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1A52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79A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83.333333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E36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40.83333333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9C11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18.33333333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141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B0AB4" w:rsidRPr="00EB0AB4" w14:paraId="49E0CD95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3AF5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7B5C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89.166667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2E4C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89.16666667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E41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38.33333333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0EF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47.5</w:t>
            </w:r>
          </w:p>
        </w:tc>
      </w:tr>
      <w:tr w:rsidR="00EB0AB4" w:rsidRPr="00EB0AB4" w14:paraId="4972E332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9B4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DF1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36A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65.83333333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5ED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50.83333333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299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B0AB4" w:rsidRPr="00EB0AB4" w14:paraId="1C800F72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BE5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07B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FDE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819C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F1B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65.83333333</w:t>
            </w:r>
          </w:p>
        </w:tc>
      </w:tr>
      <w:tr w:rsidR="00EB0AB4" w:rsidRPr="00EB0AB4" w14:paraId="1628A72B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40F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E2B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079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90.83333333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94A8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76.66666667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D89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79.16666667</w:t>
            </w:r>
          </w:p>
        </w:tc>
      </w:tr>
    </w:tbl>
    <w:p w14:paraId="365997B3" w14:textId="77777777" w:rsidR="00A30FFD" w:rsidRDefault="00A30FFD">
      <w:r>
        <w:br w:type="page"/>
      </w:r>
    </w:p>
    <w:p w14:paraId="67AED36D" w14:textId="633014A2" w:rsidR="00A30FFD" w:rsidRDefault="00A30FFD"/>
    <w:p w14:paraId="469467EA" w14:textId="77777777" w:rsidR="00A30FFD" w:rsidRDefault="00A30FFD">
      <w:r>
        <w:br w:type="page"/>
      </w:r>
    </w:p>
    <w:p w14:paraId="51CA912C" w14:textId="7D71F3C6" w:rsidR="00A30FFD" w:rsidRDefault="00A30FFD"/>
    <w:p w14:paraId="17A1E712" w14:textId="77777777" w:rsidR="00A30FFD" w:rsidRDefault="00A30FFD">
      <w:r>
        <w:br w:type="page"/>
      </w:r>
    </w:p>
    <w:p w14:paraId="69911225" w14:textId="18DDEE67" w:rsidR="00A30FFD" w:rsidRDefault="00A30FFD"/>
    <w:p w14:paraId="150FA975" w14:textId="77777777" w:rsidR="00A30FFD" w:rsidRDefault="00A30FFD">
      <w:r>
        <w:br w:type="page"/>
      </w:r>
    </w:p>
    <w:p w14:paraId="2A97B3EA" w14:textId="088E5CE3" w:rsidR="00A30FFD" w:rsidRDefault="00A30FFD"/>
    <w:p w14:paraId="588E3134" w14:textId="77777777" w:rsidR="00A30FFD" w:rsidRDefault="00A30FFD">
      <w:r>
        <w:br w:type="page"/>
      </w:r>
    </w:p>
    <w:p w14:paraId="21991383" w14:textId="77777777" w:rsidR="00C734CD" w:rsidRDefault="00751ECE"/>
    <w:sectPr w:rsidR="00C734CD" w:rsidSect="00A30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F124A" w14:textId="77777777" w:rsidR="00751ECE" w:rsidRDefault="00751ECE" w:rsidP="00A30FFD">
      <w:pPr>
        <w:spacing w:after="0" w:line="240" w:lineRule="auto"/>
      </w:pPr>
      <w:r>
        <w:separator/>
      </w:r>
    </w:p>
  </w:endnote>
  <w:endnote w:type="continuationSeparator" w:id="0">
    <w:p w14:paraId="648717F6" w14:textId="77777777" w:rsidR="00751ECE" w:rsidRDefault="00751ECE" w:rsidP="00A3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49B4D" w14:textId="77777777" w:rsidR="00751ECE" w:rsidRDefault="00751ECE" w:rsidP="00A30FFD">
      <w:pPr>
        <w:spacing w:after="0" w:line="240" w:lineRule="auto"/>
      </w:pPr>
      <w:r>
        <w:separator/>
      </w:r>
    </w:p>
  </w:footnote>
  <w:footnote w:type="continuationSeparator" w:id="0">
    <w:p w14:paraId="4FF86D3D" w14:textId="77777777" w:rsidR="00751ECE" w:rsidRDefault="00751ECE" w:rsidP="00A30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3MDMwMjQ0tzA3NTdQ0lEKTi0uzszPAykwrAUAB4kexiwAAAA="/>
  </w:docVars>
  <w:rsids>
    <w:rsidRoot w:val="00A30FFD"/>
    <w:rsid w:val="00056EB7"/>
    <w:rsid w:val="001B4291"/>
    <w:rsid w:val="00751ECE"/>
    <w:rsid w:val="00A019A4"/>
    <w:rsid w:val="00A038B7"/>
    <w:rsid w:val="00A30FFD"/>
    <w:rsid w:val="00D640CB"/>
    <w:rsid w:val="00E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86D4"/>
  <w15:chartTrackingRefBased/>
  <w15:docId w15:val="{F5C67D76-2DC8-44B4-8408-BFBB51D6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FFD"/>
  </w:style>
  <w:style w:type="paragraph" w:styleId="Footer">
    <w:name w:val="footer"/>
    <w:basedOn w:val="Normal"/>
    <w:link w:val="FooterChar"/>
    <w:uiPriority w:val="99"/>
    <w:unhideWhenUsed/>
    <w:rsid w:val="00A3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13509420176162643"/>
          <c:y val="2.275910364145658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811719264576694"/>
          <c:y val="0.11306861267387996"/>
          <c:w val="0.84045010076939464"/>
          <c:h val="0.768870991234909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Sheet1!$Y$11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rgbClr val="00206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Sheet1!$Y$12:$Y$15</c:f>
              <c:numCache>
                <c:formatCode>General</c:formatCode>
                <c:ptCount val="4"/>
                <c:pt idx="0">
                  <c:v>4.03</c:v>
                </c:pt>
                <c:pt idx="1">
                  <c:v>7.57</c:v>
                </c:pt>
                <c:pt idx="2">
                  <c:v>10.99</c:v>
                </c:pt>
                <c:pt idx="3">
                  <c:v>16.156666666666666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3-41D5-819B-B428EACFA7B0}"/>
            </c:ext>
          </c:extLst>
        </c:ser>
        <c:ser>
          <c:idx val="1"/>
          <c:order val="1"/>
          <c:tx>
            <c:strRef>
              <c:f>Sheet1!$Z$11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Sheet1!$Z$12:$Z$15</c:f>
              <c:numCache>
                <c:formatCode>General</c:formatCode>
                <c:ptCount val="4"/>
                <c:pt idx="0">
                  <c:v>5.1700000000000008</c:v>
                </c:pt>
                <c:pt idx="1">
                  <c:v>7.4300000000000006</c:v>
                </c:pt>
                <c:pt idx="2">
                  <c:v>10.823333333333332</c:v>
                </c:pt>
                <c:pt idx="3">
                  <c:v>15.863333333333335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73-41D5-819B-B428EACFA7B0}"/>
            </c:ext>
          </c:extLst>
        </c:ser>
        <c:ser>
          <c:idx val="2"/>
          <c:order val="2"/>
          <c:tx>
            <c:strRef>
              <c:f>Sheet1!$AA$11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rgbClr val="004C0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Sheet1!$AA$12:$AA$15</c:f>
              <c:numCache>
                <c:formatCode>General</c:formatCode>
                <c:ptCount val="4"/>
                <c:pt idx="0">
                  <c:v>5.13</c:v>
                </c:pt>
                <c:pt idx="1">
                  <c:v>7.8833333333333329</c:v>
                </c:pt>
                <c:pt idx="2">
                  <c:v>11.036666666666667</c:v>
                </c:pt>
                <c:pt idx="3">
                  <c:v>16.006666666666664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73-41D5-819B-B428EACFA7B0}"/>
            </c:ext>
          </c:extLst>
        </c:ser>
        <c:ser>
          <c:idx val="3"/>
          <c:order val="3"/>
          <c:tx>
            <c:strRef>
              <c:f>Sheet1!$AB$11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rgbClr val="FF6600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4-6973-41D5-819B-B428EACFA7B0}"/>
              </c:ext>
            </c:extLst>
          </c:dPt>
          <c:dPt>
            <c:idx val="1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6-6973-41D5-819B-B428EACFA7B0}"/>
              </c:ext>
            </c:extLst>
          </c:dPt>
          <c:dPt>
            <c:idx val="2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8-6973-41D5-819B-B428EACFA7B0}"/>
              </c:ext>
            </c:extLst>
          </c:dPt>
          <c:dPt>
            <c:idx val="3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A-6973-41D5-819B-B428EACFA7B0}"/>
              </c:ext>
            </c:extLst>
          </c:dPt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Sheet1!$AB$12:$AB$15</c:f>
              <c:numCache>
                <c:formatCode>General</c:formatCode>
                <c:ptCount val="4"/>
                <c:pt idx="0">
                  <c:v>5.22</c:v>
                </c:pt>
                <c:pt idx="1">
                  <c:v>7.95</c:v>
                </c:pt>
                <c:pt idx="2">
                  <c:v>11.074666666666667</c:v>
                </c:pt>
                <c:pt idx="3">
                  <c:v>16.103333333333335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973-41D5-819B-B428EACFA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03840"/>
        <c:axId val="61605760"/>
      </c:barChart>
      <c:catAx>
        <c:axId val="6160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</a:p>
            </c:rich>
          </c:tx>
          <c:layout>
            <c:manualLayout>
              <c:xMode val="edge"/>
              <c:yMode val="edge"/>
              <c:x val="0.44042399012791866"/>
              <c:y val="0.916938929967812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05760"/>
        <c:crosses val="autoZero"/>
        <c:auto val="1"/>
        <c:lblAlgn val="ctr"/>
        <c:lblOffset val="100"/>
        <c:noMultiLvlLbl val="0"/>
      </c:catAx>
      <c:valAx>
        <c:axId val="61605760"/>
        <c:scaling>
          <c:orientation val="minMax"/>
          <c:max val="17"/>
          <c:min val="3.5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Seedling height (cm)</a:t>
                </a:r>
              </a:p>
            </c:rich>
          </c:tx>
          <c:layout>
            <c:manualLayout>
              <c:xMode val="edge"/>
              <c:yMode val="edge"/>
              <c:x val="2.0095971573859551E-2"/>
              <c:y val="0.4253903923774235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03840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1.3917178816259819E-2"/>
          <c:y val="0.94860359233671854"/>
          <c:w val="0.97794108283634373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1221822277502012"/>
          <c:y val="1.787269800625564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428493313335832"/>
          <c:y val="0.10587362831447293"/>
          <c:w val="0.82428243344581931"/>
          <c:h val="0.790574542162466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Sheet1!$Y$20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Sheet1!$Y$21:$Y$24</c:f>
              <c:numCache>
                <c:formatCode>General</c:formatCode>
                <c:ptCount val="4"/>
                <c:pt idx="0">
                  <c:v>4.5030000000000001</c:v>
                </c:pt>
                <c:pt idx="1">
                  <c:v>8.34</c:v>
                </c:pt>
                <c:pt idx="2">
                  <c:v>11.340000000000002</c:v>
                </c:pt>
                <c:pt idx="3">
                  <c:v>17.34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2D-4D5A-B834-AEB0B3289F2C}"/>
            </c:ext>
          </c:extLst>
        </c:ser>
        <c:ser>
          <c:idx val="1"/>
          <c:order val="1"/>
          <c:tx>
            <c:strRef>
              <c:f>Sheet1!$Z$20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Sheet1!$Z$21:$Z$24</c:f>
              <c:numCache>
                <c:formatCode>General</c:formatCode>
                <c:ptCount val="4"/>
                <c:pt idx="0">
                  <c:v>5.3866666666666667</c:v>
                </c:pt>
                <c:pt idx="1">
                  <c:v>8.2799999999999994</c:v>
                </c:pt>
                <c:pt idx="2">
                  <c:v>11.283333333333331</c:v>
                </c:pt>
                <c:pt idx="3">
                  <c:v>16.883333333333333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2D-4D5A-B834-AEB0B3289F2C}"/>
            </c:ext>
          </c:extLst>
        </c:ser>
        <c:ser>
          <c:idx val="2"/>
          <c:order val="2"/>
          <c:tx>
            <c:strRef>
              <c:f>Sheet1!$AA$20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Sheet1!$AA$21:$AA$24</c:f>
              <c:numCache>
                <c:formatCode>General</c:formatCode>
                <c:ptCount val="4"/>
                <c:pt idx="0">
                  <c:v>5.266</c:v>
                </c:pt>
                <c:pt idx="1">
                  <c:v>8.3699999999999992</c:v>
                </c:pt>
                <c:pt idx="2">
                  <c:v>11.313333333333333</c:v>
                </c:pt>
                <c:pt idx="3">
                  <c:v>17.083333333333332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2D-4D5A-B834-AEB0B3289F2C}"/>
            </c:ext>
          </c:extLst>
        </c:ser>
        <c:ser>
          <c:idx val="3"/>
          <c:order val="3"/>
          <c:tx>
            <c:strRef>
              <c:f>Sheet1!$AB$20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Sheet1!$AB$21:$AB$24</c:f>
              <c:numCache>
                <c:formatCode>General</c:formatCode>
                <c:ptCount val="4"/>
                <c:pt idx="0">
                  <c:v>5.2666666666666666</c:v>
                </c:pt>
                <c:pt idx="1">
                  <c:v>8.456666666666667</c:v>
                </c:pt>
                <c:pt idx="2">
                  <c:v>11.436666666666667</c:v>
                </c:pt>
                <c:pt idx="3">
                  <c:v>17.169999999999998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2D-4D5A-B834-AEB0B3289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20224"/>
        <c:axId val="61622144"/>
      </c:barChart>
      <c:catAx>
        <c:axId val="61620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  <a:endParaRPr lang="en-US" sz="1200" b="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8181853323116186"/>
              <c:y val="0.9165910107451710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2144"/>
        <c:crosses val="autoZero"/>
        <c:auto val="1"/>
        <c:lblAlgn val="ctr"/>
        <c:lblOffset val="100"/>
        <c:noMultiLvlLbl val="0"/>
      </c:catAx>
      <c:valAx>
        <c:axId val="61622144"/>
        <c:scaling>
          <c:orientation val="minMax"/>
          <c:max val="18"/>
          <c:min val="3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 (cm)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249790616432805E-2"/>
              <c:y val="0.4055143607592166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20224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1.9543494563179595E-2"/>
          <c:y val="0.95579857669612589"/>
          <c:w val="0.95881108611423571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Changes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in Ground Cover % with Days After Establishment</a:t>
            </a:r>
          </a:p>
          <a:p>
            <a:pPr>
              <a:defRPr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599253726816077"/>
          <c:y val="3.42701929742853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424494716797379E-2"/>
          <c:y val="0.1423958497448812"/>
          <c:w val="0.8922799142227823"/>
          <c:h val="0.696897828514532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Sheet1!$J$65</c:f>
              <c:strCache>
                <c:ptCount val="1"/>
                <c:pt idx="0">
                  <c:v>BC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numRef>
              <c:f>Sheet1!$I$66:$I$71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Sheet1!$J$66:$J$71</c:f>
              <c:numCache>
                <c:formatCode>General</c:formatCode>
                <c:ptCount val="6"/>
                <c:pt idx="0">
                  <c:v>64.166666666666671</c:v>
                </c:pt>
                <c:pt idx="1">
                  <c:v>70</c:v>
                </c:pt>
                <c:pt idx="2">
                  <c:v>85.833333333333329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A9-4022-B5DD-5448D4047CBC}"/>
            </c:ext>
          </c:extLst>
        </c:ser>
        <c:ser>
          <c:idx val="1"/>
          <c:order val="1"/>
          <c:tx>
            <c:strRef>
              <c:f>Sheet1!$K$65</c:f>
              <c:strCache>
                <c:ptCount val="1"/>
                <c:pt idx="0">
                  <c:v>RT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Sheet1!$I$66:$I$71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Sheet1!$K$66:$K$71</c:f>
              <c:numCache>
                <c:formatCode>General</c:formatCode>
                <c:ptCount val="6"/>
                <c:pt idx="0">
                  <c:v>28.3333333333333</c:v>
                </c:pt>
                <c:pt idx="1">
                  <c:v>56.19</c:v>
                </c:pt>
                <c:pt idx="2">
                  <c:v>75.418999999999997</c:v>
                </c:pt>
                <c:pt idx="3">
                  <c:v>81.666666666666671</c:v>
                </c:pt>
                <c:pt idx="4">
                  <c:v>81.666666666666671</c:v>
                </c:pt>
                <c:pt idx="5">
                  <c:v>90.833333333333329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A9-4022-B5DD-5448D4047CBC}"/>
            </c:ext>
          </c:extLst>
        </c:ser>
        <c:ser>
          <c:idx val="2"/>
          <c:order val="2"/>
          <c:tx>
            <c:strRef>
              <c:f>Sheet1!$L$65</c:f>
              <c:strCache>
                <c:ptCount val="1"/>
                <c:pt idx="0">
                  <c:v>MT</c:v>
                </c:pt>
              </c:strCache>
            </c:strRef>
          </c:tx>
          <c:spPr>
            <a:solidFill>
              <a:srgbClr val="004620"/>
            </a:solidFill>
            <a:ln>
              <a:noFill/>
            </a:ln>
            <a:effectLst/>
          </c:spPr>
          <c:invertIfNegative val="0"/>
          <c:cat>
            <c:numRef>
              <c:f>Sheet1!$I$66:$I$71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Sheet1!$L$66:$L$71</c:f>
              <c:numCache>
                <c:formatCode>General</c:formatCode>
                <c:ptCount val="6"/>
                <c:pt idx="0">
                  <c:v>16.666666666666668</c:v>
                </c:pt>
                <c:pt idx="1">
                  <c:v>25</c:v>
                </c:pt>
                <c:pt idx="2">
                  <c:v>35</c:v>
                </c:pt>
                <c:pt idx="3">
                  <c:v>70</c:v>
                </c:pt>
                <c:pt idx="4">
                  <c:v>72.5</c:v>
                </c:pt>
                <c:pt idx="5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A9-4022-B5DD-5448D4047CBC}"/>
            </c:ext>
          </c:extLst>
        </c:ser>
        <c:ser>
          <c:idx val="3"/>
          <c:order val="3"/>
          <c:tx>
            <c:strRef>
              <c:f>Sheet1!$M$65</c:f>
              <c:strCache>
                <c:ptCount val="1"/>
                <c:pt idx="0">
                  <c:v>PA</c:v>
                </c:pt>
              </c:strCache>
            </c:strRef>
          </c:tx>
          <c:spPr>
            <a:solidFill>
              <a:srgbClr val="FF6A05"/>
            </a:solidFill>
            <a:ln>
              <a:noFill/>
            </a:ln>
            <a:effectLst/>
          </c:spPr>
          <c:invertIfNegative val="0"/>
          <c:cat>
            <c:numRef>
              <c:f>Sheet1!$I$66:$I$71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Sheet1!$M$66:$M$71</c:f>
              <c:numCache>
                <c:formatCode>General</c:formatCode>
                <c:ptCount val="6"/>
                <c:pt idx="0">
                  <c:v>25</c:v>
                </c:pt>
                <c:pt idx="1">
                  <c:v>35.833333333333336</c:v>
                </c:pt>
                <c:pt idx="2">
                  <c:v>59.166666666666664</c:v>
                </c:pt>
                <c:pt idx="3">
                  <c:v>76.666666666666671</c:v>
                </c:pt>
                <c:pt idx="4">
                  <c:v>76.666666666666671</c:v>
                </c:pt>
                <c:pt idx="5">
                  <c:v>90.833333333333329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A9-4022-B5DD-5448D4047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5255648"/>
        <c:axId val="535259584"/>
      </c:barChart>
      <c:catAx>
        <c:axId val="535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field</a:t>
                </a:r>
                <a:r>
                  <a:rPr lang="en-US" sz="12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establishment</a:t>
                </a:r>
                <a:endParaRPr lang="en-US" sz="12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5259584"/>
        <c:crosses val="autoZero"/>
        <c:auto val="1"/>
        <c:lblAlgn val="ctr"/>
        <c:lblOffset val="100"/>
        <c:noMultiLvlLbl val="0"/>
      </c:catAx>
      <c:valAx>
        <c:axId val="535259584"/>
        <c:scaling>
          <c:orientation val="minMax"/>
          <c:max val="11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Ground Cover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525564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6060480342019403E-2"/>
          <c:y val="0.93923411341849694"/>
          <c:w val="0.85662103577191262"/>
          <c:h val="4.62731384711710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 i="0" baseline="0">
                <a:effectLst/>
              </a:rPr>
              <a:t>Changes in Ground Cover % with Days After Establishment</a:t>
            </a:r>
            <a:endParaRPr lang="en-US" sz="1200">
              <a:effectLst/>
            </a:endParaRPr>
          </a:p>
          <a:p>
            <a:pPr>
              <a:defRPr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 sz="1200" b="1" i="0" baseline="0">
                <a:effectLst/>
              </a:rPr>
              <a:t>Bg 374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04142150591856"/>
          <c:y val="0.10807897424259616"/>
          <c:w val="0.8746162370744005"/>
          <c:h val="0.7221084602819830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Sheet1!$B$76</c:f>
              <c:strCache>
                <c:ptCount val="1"/>
                <c:pt idx="0">
                  <c:v>BC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numRef>
              <c:f>Sheet1!$A$77:$A$82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Sheet1!$B$77:$B$82</c:f>
              <c:numCache>
                <c:formatCode>General</c:formatCode>
                <c:ptCount val="6"/>
                <c:pt idx="0">
                  <c:v>41.666666666666664</c:v>
                </c:pt>
                <c:pt idx="1">
                  <c:v>83.333333333333329</c:v>
                </c:pt>
                <c:pt idx="2">
                  <c:v>89.166666666666671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00-4BBA-84C7-2F8FDCDA74F0}"/>
            </c:ext>
          </c:extLst>
        </c:ser>
        <c:ser>
          <c:idx val="1"/>
          <c:order val="1"/>
          <c:tx>
            <c:strRef>
              <c:f>Sheet1!$C$76</c:f>
              <c:strCache>
                <c:ptCount val="1"/>
                <c:pt idx="0">
                  <c:v>RT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Sheet1!$A$77:$A$82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Sheet1!$C$77:$C$82</c:f>
              <c:numCache>
                <c:formatCode>General</c:formatCode>
                <c:ptCount val="6"/>
                <c:pt idx="0">
                  <c:v>31.666666666666668</c:v>
                </c:pt>
                <c:pt idx="1">
                  <c:v>40.833333333333336</c:v>
                </c:pt>
                <c:pt idx="2">
                  <c:v>89.166666666666671</c:v>
                </c:pt>
                <c:pt idx="3">
                  <c:v>65.833333333333329</c:v>
                </c:pt>
                <c:pt idx="4">
                  <c:v>77.5</c:v>
                </c:pt>
                <c:pt idx="5">
                  <c:v>90.833333333333329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00-4BBA-84C7-2F8FDCDA74F0}"/>
            </c:ext>
          </c:extLst>
        </c:ser>
        <c:ser>
          <c:idx val="2"/>
          <c:order val="2"/>
          <c:tx>
            <c:strRef>
              <c:f>Sheet1!$D$76</c:f>
              <c:strCache>
                <c:ptCount val="1"/>
                <c:pt idx="0">
                  <c:v>MT</c:v>
                </c:pt>
              </c:strCache>
            </c:strRef>
          </c:tx>
          <c:spPr>
            <a:solidFill>
              <a:srgbClr val="004620"/>
            </a:solidFill>
            <a:ln>
              <a:noFill/>
            </a:ln>
            <a:effectLst/>
          </c:spPr>
          <c:invertIfNegative val="0"/>
          <c:cat>
            <c:numRef>
              <c:f>Sheet1!$A$77:$A$82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Sheet1!$D$77:$D$82</c:f>
              <c:numCache>
                <c:formatCode>General</c:formatCode>
                <c:ptCount val="6"/>
                <c:pt idx="0">
                  <c:v>15.833333333333334</c:v>
                </c:pt>
                <c:pt idx="1">
                  <c:v>18.333333333333332</c:v>
                </c:pt>
                <c:pt idx="2">
                  <c:v>38.333333333333336</c:v>
                </c:pt>
                <c:pt idx="3">
                  <c:v>50.833333333333336</c:v>
                </c:pt>
                <c:pt idx="4">
                  <c:v>67.5</c:v>
                </c:pt>
                <c:pt idx="5">
                  <c:v>76.666666666666671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00-4BBA-84C7-2F8FDCDA74F0}"/>
            </c:ext>
          </c:extLst>
        </c:ser>
        <c:ser>
          <c:idx val="3"/>
          <c:order val="3"/>
          <c:tx>
            <c:strRef>
              <c:f>Sheet1!$E$76</c:f>
              <c:strCache>
                <c:ptCount val="1"/>
                <c:pt idx="0">
                  <c:v>PA</c:v>
                </c:pt>
              </c:strCache>
            </c:strRef>
          </c:tx>
          <c:spPr>
            <a:solidFill>
              <a:srgbClr val="FF6A05"/>
            </a:solidFill>
            <a:ln>
              <a:noFill/>
            </a:ln>
            <a:effectLst/>
          </c:spPr>
          <c:invertIfNegative val="0"/>
          <c:cat>
            <c:numRef>
              <c:f>Sheet1!$A$77:$A$82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Sheet1!$E$77:$E$82</c:f>
              <c:numCache>
                <c:formatCode>General</c:formatCode>
                <c:ptCount val="6"/>
                <c:pt idx="0">
                  <c:v>19.166666666666668</c:v>
                </c:pt>
                <c:pt idx="1">
                  <c:v>25</c:v>
                </c:pt>
                <c:pt idx="2">
                  <c:v>47.5</c:v>
                </c:pt>
                <c:pt idx="3">
                  <c:v>100</c:v>
                </c:pt>
                <c:pt idx="4">
                  <c:v>65.833333333333329</c:v>
                </c:pt>
                <c:pt idx="5">
                  <c:v>79.166666666666671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600-4BBA-84C7-2F8FDCDA7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5272048"/>
        <c:axId val="535270736"/>
      </c:barChart>
      <c:catAx>
        <c:axId val="53527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chemeClr val="tx1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field establishment</a:t>
                </a:r>
                <a:endParaRPr lang="en-US" sz="1200" b="1">
                  <a:solidFill>
                    <a:schemeClr val="tx1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5270736"/>
        <c:crosses val="autoZero"/>
        <c:auto val="1"/>
        <c:lblAlgn val="ctr"/>
        <c:lblOffset val="100"/>
        <c:noMultiLvlLbl val="0"/>
      </c:catAx>
      <c:valAx>
        <c:axId val="535270736"/>
        <c:scaling>
          <c:orientation val="minMax"/>
          <c:max val="11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chemeClr val="tx1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Ground Cover %</a:t>
                </a:r>
                <a:endParaRPr lang="en-US" sz="1200" b="1">
                  <a:solidFill>
                    <a:schemeClr val="tx1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527204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538385106491535"/>
          <c:y val="0.93533040513617571"/>
          <c:w val="0.82540333978488301"/>
          <c:h val="3.53458421623447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0D58-99D9-4D5A-83D8-2B2A1B67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3</cp:revision>
  <dcterms:created xsi:type="dcterms:W3CDTF">2018-12-20T13:27:00Z</dcterms:created>
  <dcterms:modified xsi:type="dcterms:W3CDTF">2018-12-20T13:39:00Z</dcterms:modified>
</cp:coreProperties>
</file>