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CD" w:rsidRDefault="00A35A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D6E8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-12065</wp:posOffset>
            </wp:positionH>
            <wp:positionV relativeFrom="paragraph">
              <wp:posOffset>0</wp:posOffset>
            </wp:positionV>
            <wp:extent cx="5577840" cy="7924800"/>
            <wp:effectExtent l="0" t="0" r="381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:rsidR="00BB359F" w:rsidRPr="00BB359F" w:rsidRDefault="00D31384" w:rsidP="00BB359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78341C" wp14:editId="222247EC">
            <wp:extent cx="5882640" cy="6842125"/>
            <wp:effectExtent l="0" t="0" r="3810" b="1587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3FA579C-E17E-4099-9743-EE903D09BE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:rsidR="00BB359F" w:rsidRPr="00BB359F" w:rsidRDefault="00BB359F" w:rsidP="00BB359F">
      <w:pPr>
        <w:tabs>
          <w:tab w:val="left" w:pos="19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sectPr w:rsidR="00BB359F" w:rsidRPr="00BB359F" w:rsidSect="00CD6E81">
      <w:pgSz w:w="11906" w:h="16838" w:code="9"/>
      <w:pgMar w:top="850" w:right="1411" w:bottom="85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7IwMTU0MDUxMbFQ0lEKTi0uzszPAykwrAUADVYDFiwAAAA="/>
  </w:docVars>
  <w:rsids>
    <w:rsidRoot w:val="009850C1"/>
    <w:rsid w:val="00056EB7"/>
    <w:rsid w:val="001B4291"/>
    <w:rsid w:val="007C6EEB"/>
    <w:rsid w:val="009850C1"/>
    <w:rsid w:val="009D5B7D"/>
    <w:rsid w:val="00A019A4"/>
    <w:rsid w:val="00A35A3F"/>
    <w:rsid w:val="00BB359F"/>
    <w:rsid w:val="00CD6E81"/>
    <w:rsid w:val="00D31384"/>
    <w:rsid w:val="00D640CB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A039"/>
  <w15:chartTrackingRefBased/>
  <w15:docId w15:val="{481AAE8E-F694-475E-95D0-924AF77B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Comparison%20of%20nursery%20method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Changes in seedling height</a:t>
            </a:r>
          </a:p>
          <a:p>
            <a:pPr>
              <a:defRPr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360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4036329475209"/>
          <c:y val="7.4405284675953962E-2"/>
          <c:w val="0.85520792995137906"/>
          <c:h val="0.7203415859075308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Broadcasting</c:v>
                </c:pt>
              </c:strCache>
            </c:strRef>
          </c:tx>
          <c:spPr>
            <a:solidFill>
              <a:srgbClr val="FFC000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3 DAS</c:v>
                </c:pt>
                <c:pt idx="1">
                  <c:v>6 DAS</c:v>
                </c:pt>
                <c:pt idx="2">
                  <c:v>9 DAS</c:v>
                </c:pt>
                <c:pt idx="3">
                  <c:v>12 DAS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4.03</c:v>
                </c:pt>
                <c:pt idx="1">
                  <c:v>6.57</c:v>
                </c:pt>
                <c:pt idx="2">
                  <c:v>9.8533333333333335</c:v>
                </c:pt>
                <c:pt idx="3">
                  <c:v>15.13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45-44E3-8804-AE7767F804A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Random Transplanting</c:v>
                </c:pt>
              </c:strCache>
            </c:strRef>
          </c:tx>
          <c:spPr>
            <a:solidFill>
              <a:srgbClr val="C00000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3 DAS</c:v>
                </c:pt>
                <c:pt idx="1">
                  <c:v>6 DAS</c:v>
                </c:pt>
                <c:pt idx="2">
                  <c:v>9 DAS</c:v>
                </c:pt>
                <c:pt idx="3">
                  <c:v>12 DAS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5.1700000000000008</c:v>
                </c:pt>
                <c:pt idx="1">
                  <c:v>7.4300000000000006</c:v>
                </c:pt>
                <c:pt idx="2">
                  <c:v>10.823333333333332</c:v>
                </c:pt>
                <c:pt idx="3">
                  <c:v>15.863333333333335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45-44E3-8804-AE7767F804A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Mechanical Transplanting</c:v>
                </c:pt>
              </c:strCache>
            </c:strRef>
          </c:tx>
          <c:spPr>
            <a:solidFill>
              <a:srgbClr val="00B0F0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3 DAS</c:v>
                </c:pt>
                <c:pt idx="1">
                  <c:v>6 DAS</c:v>
                </c:pt>
                <c:pt idx="2">
                  <c:v>9 DAS</c:v>
                </c:pt>
                <c:pt idx="3">
                  <c:v>12 DAS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5.13</c:v>
                </c:pt>
                <c:pt idx="1">
                  <c:v>7.8833333333333329</c:v>
                </c:pt>
                <c:pt idx="2">
                  <c:v>11.036666666666667</c:v>
                </c:pt>
                <c:pt idx="3">
                  <c:v>16.006666666666664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45-44E3-8804-AE7767F804A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Parachute</c:v>
                </c:pt>
              </c:strCache>
            </c:strRef>
          </c:tx>
          <c:spPr>
            <a:solidFill>
              <a:srgbClr val="002060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3 DAS</c:v>
                </c:pt>
                <c:pt idx="1">
                  <c:v>6 DAS</c:v>
                </c:pt>
                <c:pt idx="2">
                  <c:v>9 DAS</c:v>
                </c:pt>
                <c:pt idx="3">
                  <c:v>12 DAS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5.22</c:v>
                </c:pt>
                <c:pt idx="1">
                  <c:v>7.95</c:v>
                </c:pt>
                <c:pt idx="2">
                  <c:v>11.074666666666667</c:v>
                </c:pt>
                <c:pt idx="3">
                  <c:v>16.103333333333335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845-44E3-8804-AE7767F804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8"/>
        <c:overlap val="-31"/>
        <c:axId val="144515856"/>
        <c:axId val="144512248"/>
      </c:barChart>
      <c:catAx>
        <c:axId val="144515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days</a:t>
                </a:r>
                <a:r>
                  <a:rPr lang="en-US" sz="1200" b="1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after sowing</a:t>
                </a:r>
                <a:endParaRPr lang="en-US" sz="1200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32511707040718268"/>
              <c:y val="0.851880930749041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4512248"/>
        <c:crosses val="autoZero"/>
        <c:auto val="1"/>
        <c:lblAlgn val="ctr"/>
        <c:lblOffset val="100"/>
        <c:noMultiLvlLbl val="0"/>
      </c:catAx>
      <c:valAx>
        <c:axId val="144512248"/>
        <c:scaling>
          <c:orientation val="minMax"/>
          <c:max val="17.5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Seedlinh Height (cm)</a:t>
                </a:r>
              </a:p>
            </c:rich>
          </c:tx>
          <c:layout>
            <c:manualLayout>
              <c:xMode val="edge"/>
              <c:yMode val="edge"/>
              <c:x val="2.6759462444243655E-3"/>
              <c:y val="0.2453664445790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4515856"/>
        <c:crosses val="autoZero"/>
        <c:crossBetween val="between"/>
        <c:majorUnit val="0.5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10963383675401228"/>
          <c:y val="0.89689014233797704"/>
          <c:w val="0.81295268419316435"/>
          <c:h val="8.266719664849586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Changes in seedling height</a:t>
            </a: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>
              <a:defRPr b="1"/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616508914364979"/>
          <c:y val="8.8345360542229204E-2"/>
          <c:w val="0.81780391116913498"/>
          <c:h val="0.7016090761276649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Sheet1!$Z$20</c:f>
              <c:strCache>
                <c:ptCount val="1"/>
                <c:pt idx="0">
                  <c:v>Broadcasting</c:v>
                </c:pt>
              </c:strCache>
            </c:strRef>
          </c:tx>
          <c:spPr>
            <a:solidFill>
              <a:srgbClr val="FFC000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Sheet1!$Y$21:$Y$24</c:f>
              <c:strCache>
                <c:ptCount val="4"/>
                <c:pt idx="0">
                  <c:v>3 DAS</c:v>
                </c:pt>
                <c:pt idx="1">
                  <c:v>6 DAS</c:v>
                </c:pt>
                <c:pt idx="2">
                  <c:v>9 DAS</c:v>
                </c:pt>
                <c:pt idx="3">
                  <c:v>12 DAS</c:v>
                </c:pt>
              </c:strCache>
            </c:strRef>
          </c:cat>
          <c:val>
            <c:numRef>
              <c:f>Sheet1!$Z$21:$Z$24</c:f>
              <c:numCache>
                <c:formatCode>General</c:formatCode>
                <c:ptCount val="4"/>
                <c:pt idx="0">
                  <c:v>4.5030000000000001</c:v>
                </c:pt>
                <c:pt idx="1">
                  <c:v>7.1733333333333329</c:v>
                </c:pt>
                <c:pt idx="2">
                  <c:v>10.086666666666666</c:v>
                </c:pt>
                <c:pt idx="3">
                  <c:v>15.833333333333334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94-41F4-95C7-9DB7F7F9DBA4}"/>
            </c:ext>
          </c:extLst>
        </c:ser>
        <c:ser>
          <c:idx val="1"/>
          <c:order val="1"/>
          <c:tx>
            <c:strRef>
              <c:f>Sheet1!$AA$20</c:f>
              <c:strCache>
                <c:ptCount val="1"/>
                <c:pt idx="0">
                  <c:v>Random Transplanting</c:v>
                </c:pt>
              </c:strCache>
            </c:strRef>
          </c:tx>
          <c:spPr>
            <a:solidFill>
              <a:srgbClr val="C00000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Sheet1!$Y$21:$Y$24</c:f>
              <c:strCache>
                <c:ptCount val="4"/>
                <c:pt idx="0">
                  <c:v>3 DAS</c:v>
                </c:pt>
                <c:pt idx="1">
                  <c:v>6 DAS</c:v>
                </c:pt>
                <c:pt idx="2">
                  <c:v>9 DAS</c:v>
                </c:pt>
                <c:pt idx="3">
                  <c:v>12 DAS</c:v>
                </c:pt>
              </c:strCache>
            </c:strRef>
          </c:cat>
          <c:val>
            <c:numRef>
              <c:f>Sheet1!$AA$21:$AA$24</c:f>
              <c:numCache>
                <c:formatCode>General</c:formatCode>
                <c:ptCount val="4"/>
                <c:pt idx="0">
                  <c:v>5.3866666666666667</c:v>
                </c:pt>
                <c:pt idx="1">
                  <c:v>8.2799999999999994</c:v>
                </c:pt>
                <c:pt idx="2">
                  <c:v>11.286666666666667</c:v>
                </c:pt>
                <c:pt idx="3">
                  <c:v>16.036666666666665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94-41F4-95C7-9DB7F7F9DBA4}"/>
            </c:ext>
          </c:extLst>
        </c:ser>
        <c:ser>
          <c:idx val="2"/>
          <c:order val="2"/>
          <c:tx>
            <c:strRef>
              <c:f>Sheet1!$AB$20</c:f>
              <c:strCache>
                <c:ptCount val="1"/>
                <c:pt idx="0">
                  <c:v>Mechanical Transplanting</c:v>
                </c:pt>
              </c:strCache>
            </c:strRef>
          </c:tx>
          <c:spPr>
            <a:solidFill>
              <a:srgbClr val="00B0F0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Sheet1!$Y$21:$Y$24</c:f>
              <c:strCache>
                <c:ptCount val="4"/>
                <c:pt idx="0">
                  <c:v>3 DAS</c:v>
                </c:pt>
                <c:pt idx="1">
                  <c:v>6 DAS</c:v>
                </c:pt>
                <c:pt idx="2">
                  <c:v>9 DAS</c:v>
                </c:pt>
                <c:pt idx="3">
                  <c:v>12 DAS</c:v>
                </c:pt>
              </c:strCache>
            </c:strRef>
          </c:cat>
          <c:val>
            <c:numRef>
              <c:f>Sheet1!$AB$21:$AB$24</c:f>
              <c:numCache>
                <c:formatCode>General</c:formatCode>
                <c:ptCount val="4"/>
                <c:pt idx="0">
                  <c:v>5.266</c:v>
                </c:pt>
                <c:pt idx="1">
                  <c:v>8.3699999999999992</c:v>
                </c:pt>
                <c:pt idx="2">
                  <c:v>11.36</c:v>
                </c:pt>
                <c:pt idx="3">
                  <c:v>16.116666666666671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94-41F4-95C7-9DB7F7F9DBA4}"/>
            </c:ext>
          </c:extLst>
        </c:ser>
        <c:ser>
          <c:idx val="3"/>
          <c:order val="3"/>
          <c:tx>
            <c:strRef>
              <c:f>Sheet1!$AC$20</c:f>
              <c:strCache>
                <c:ptCount val="1"/>
                <c:pt idx="0">
                  <c:v>Parachute</c:v>
                </c:pt>
              </c:strCache>
            </c:strRef>
          </c:tx>
          <c:spPr>
            <a:solidFill>
              <a:srgbClr val="002060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strRef>
              <c:f>Sheet1!$Y$21:$Y$24</c:f>
              <c:strCache>
                <c:ptCount val="4"/>
                <c:pt idx="0">
                  <c:v>3 DAS</c:v>
                </c:pt>
                <c:pt idx="1">
                  <c:v>6 DAS</c:v>
                </c:pt>
                <c:pt idx="2">
                  <c:v>9 DAS</c:v>
                </c:pt>
                <c:pt idx="3">
                  <c:v>12 DAS</c:v>
                </c:pt>
              </c:strCache>
            </c:strRef>
          </c:cat>
          <c:val>
            <c:numRef>
              <c:f>Sheet1!$AC$21:$AC$24</c:f>
              <c:numCache>
                <c:formatCode>General</c:formatCode>
                <c:ptCount val="4"/>
                <c:pt idx="0">
                  <c:v>5.2666666666666666</c:v>
                </c:pt>
                <c:pt idx="1">
                  <c:v>8.456666666666667</c:v>
                </c:pt>
                <c:pt idx="2">
                  <c:v>11.436666666666667</c:v>
                </c:pt>
                <c:pt idx="3">
                  <c:v>16.169999999999998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994-41F4-95C7-9DB7F7F9DB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82"/>
        <c:overlap val="-15"/>
        <c:axId val="206844120"/>
        <c:axId val="206843136"/>
      </c:barChart>
      <c:catAx>
        <c:axId val="206844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days after sowing</a:t>
                </a:r>
                <a:endParaRPr lang="en-US" sz="1200" b="1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1138604436103521"/>
              <c:y val="0.836209657087527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6843136"/>
        <c:crosses val="autoZero"/>
        <c:auto val="1"/>
        <c:lblAlgn val="ctr"/>
        <c:lblOffset val="100"/>
        <c:noMultiLvlLbl val="0"/>
      </c:catAx>
      <c:valAx>
        <c:axId val="206843136"/>
        <c:scaling>
          <c:orientation val="minMax"/>
          <c:max val="17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="1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Seedlinh Height (cm)</a:t>
                </a:r>
                <a:endParaRPr lang="en-US" sz="1200" b="1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2199114683203458E-2"/>
              <c:y val="0.289655625993386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6844120"/>
        <c:crosses val="autoZero"/>
        <c:crossBetween val="between"/>
        <c:majorUnit val="0.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9780948689703943E-2"/>
          <c:y val="0.89071903831046639"/>
          <c:w val="0.90278055430894955"/>
          <c:h val="6.47333978844291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3</cp:revision>
  <dcterms:created xsi:type="dcterms:W3CDTF">2018-12-15T15:54:00Z</dcterms:created>
  <dcterms:modified xsi:type="dcterms:W3CDTF">2018-12-15T17:23:00Z</dcterms:modified>
</cp:coreProperties>
</file>