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400"/>
        <w:jc w:val="center"/>
      </w:pPr>
      <w:r>
        <w:rPr>
          <w:rFonts w:ascii="Arial" w:cs="Arial" w:eastAsia="Arial" w:hAnsi="Arial"/>
          <w:b/>
          <w:bCs/>
          <w:color w:val="1F4E79"/>
          <w:sz w:val="56"/>
          <w:szCs w:val="56"/>
        </w:rPr>
        <w:t xml:space="preserve">BOSTON HOUSING MARKET</w:t>
      </w:r>
    </w:p>
    <w:p>
      <w:pPr>
        <w:spacing w:after="400" w:before="0"/>
        <w:jc w:val="center"/>
      </w:pPr>
      <w:r>
        <w:rPr>
          <w:rFonts w:ascii="Arial" w:cs="Arial" w:eastAsia="Arial" w:hAnsi="Arial"/>
          <w:b/>
          <w:bCs/>
          <w:color w:val="2E75B6"/>
          <w:sz w:val="36"/>
          <w:szCs w:val="36"/>
        </w:rPr>
        <w:t xml:space="preserve">Investment Analysis &amp; Business Case Study</w:t>
      </w:r>
    </w:p>
    <w:p>
      <w:pPr>
        <w:pBdr>
          <w:bottom w:val="single" w:color="2E75B6" w:sz="12" w:space="1"/>
        </w:pBdr>
        <w:spacing w:after="600" w:before="0"/>
        <w:jc w:val="center"/>
      </w:pPr>
      <w:r>
        <w:t xml:space="preserve"/>
      </w:r>
    </w:p>
    <w:p>
      <w:pPr>
        <w:spacing w:after="120" w:before="600"/>
        <w:jc w:val="center"/>
      </w:pPr>
      <w:r>
        <w:rPr>
          <w:rFonts w:ascii="Arial" w:cs="Arial" w:eastAsia="Arial" w:hAnsi="Arial"/>
          <w:color w:val="666666"/>
          <w:sz w:val="24"/>
          <w:szCs w:val="24"/>
        </w:rPr>
        <w:t xml:space="preserve">Prepared for:</w:t>
      </w:r>
    </w:p>
    <w:p>
      <w:pPr>
        <w:spacing w:after="120" w:before="0"/>
        <w:jc w:val="center"/>
      </w:pPr>
      <w:r>
        <w:rPr>
          <w:rFonts w:ascii="Arial" w:cs="Arial" w:eastAsia="Arial" w:hAnsi="Arial"/>
          <w:b/>
          <w:bCs/>
          <w:color w:val="1F4E79"/>
          <w:sz w:val="28"/>
          <w:szCs w:val="28"/>
        </w:rPr>
        <w:t xml:space="preserve">Real Estate Investment Division</w:t>
      </w:r>
    </w:p>
    <w:p>
      <w:pPr>
        <w:spacing w:after="120" w:before="200"/>
        <w:jc w:val="center"/>
      </w:pPr>
      <w:r>
        <w:rPr>
          <w:rFonts w:ascii="Arial" w:cs="Arial" w:eastAsia="Arial" w:hAnsi="Arial"/>
          <w:color w:val="888888"/>
          <w:sz w:val="22"/>
          <w:szCs w:val="22"/>
        </w:rPr>
        <w:t xml:space="preserve">Data Sources: Boston Housing Dataset (506 Records)</w:t>
      </w:r>
    </w:p>
    <w:p>
      <w:pPr>
        <w:spacing w:after="120" w:before="0"/>
        <w:jc w:val="center"/>
      </w:pPr>
      <w:r>
        <w:rPr>
          <w:rFonts w:ascii="Arial" w:cs="Arial" w:eastAsia="Arial" w:hAnsi="Arial"/>
          <w:color w:val="888888"/>
          <w:sz w:val="22"/>
          <w:szCs w:val="22"/>
        </w:rPr>
        <w:t xml:space="preserve">Tools Used: Microsoft Excel | MySQL | Power BI</w:t>
      </w:r>
    </w:p>
    <w:p>
      <w:pPr>
        <w:spacing w:after="120" w:before="0"/>
        <w:jc w:val="center"/>
      </w:pPr>
      <w:r>
        <w:rPr>
          <w:rFonts w:ascii="Arial" w:cs="Arial" w:eastAsia="Arial" w:hAnsi="Arial"/>
          <w:color w:val="888888"/>
          <w:sz w:val="22"/>
          <w:szCs w:val="22"/>
        </w:rPr>
        <w:t xml:space="preserve">April 2026</w:t>
      </w:r>
    </w:p>
    <w:p>
      <w:r>
        <w:br w:type="page"/>
      </w:r>
    </w:p>
    <w:p>
      <w:pPr>
        <w:pStyle w:val="Heading1"/>
        <w:spacing w:after="200" w:before="360"/>
      </w:pPr>
      <w:r>
        <w:rPr>
          <w:rFonts w:ascii="Arial" w:cs="Arial" w:eastAsia="Arial" w:hAnsi="Arial"/>
          <w:b/>
          <w:bCs/>
          <w:color w:val="1F4E79"/>
          <w:sz w:val="36"/>
          <w:szCs w:val="36"/>
        </w:rPr>
        <w:t xml:space="preserve">1. Executive Summary</w:t>
      </w:r>
    </w:p>
    <w:p>
      <w:pPr>
        <w:pBdr>
          <w:bottom w:val="single" w:color="2E75B6" w:sz="6" w:space="1"/>
        </w:pBdr>
        <w:spacing w:after="200" w:before="200"/>
      </w:pPr>
      <w:r>
        <w:t xml:space="preserve"/>
      </w:r>
    </w:p>
    <w:p>
      <w:pPr>
        <w:spacing w:after="100" w:before="100"/>
      </w:pPr>
      <w:r>
        <w:rPr>
          <w:rFonts w:ascii="Arial" w:cs="Arial" w:eastAsia="Arial" w:hAnsi="Arial"/>
          <w:b w:val="false"/>
          <w:bCs w:val="false"/>
          <w:sz w:val="24"/>
          <w:szCs w:val="24"/>
        </w:rPr>
        <w:t xml:space="preserve">This business case study presents a comprehensive analysis of the Boston housing market using a dataset of 506 residential areas. The objective is to identify high-value investment opportunities for a real estate investment firm seeking maximum return on investment (ROI) while minimizing risk exposure.</w:t>
      </w:r>
    </w:p>
    <w:p>
      <w:pPr>
        <w:spacing w:after="120" w:before="120"/>
      </w:pPr>
      <w:r>
        <w:t xml:space="preserve"/>
      </w:r>
    </w:p>
    <w:p>
      <w:pPr>
        <w:spacing w:after="100" w:before="100"/>
      </w:pPr>
      <w:r>
        <w:rPr>
          <w:rFonts w:ascii="Arial" w:cs="Arial" w:eastAsia="Arial" w:hAnsi="Arial"/>
          <w:b w:val="false"/>
          <w:bCs w:val="false"/>
          <w:sz w:val="24"/>
          <w:szCs w:val="24"/>
        </w:rPr>
        <w:t xml:space="preserve">Our analysis — conducted using Microsoft Excel for data cleaning, MySQL for deep querying, and Power BI for visualization — reveals four critical factors that drive property prices in Boston:</w:t>
      </w:r>
    </w:p>
    <w:p>
      <w:pPr>
        <w:spacing w:after="60" w:before="100"/>
      </w:pPr>
      <w:r>
        <w:t xml:space="preserve"/>
      </w:r>
    </w:p>
    <w:p>
      <w:pPr>
        <w:pStyle w:val="ListParagraph"/>
        <w:numPr>
          <w:ilvl w:val="0"/>
          <w:numId w:val="2"/>
        </w:numPr>
        <w:spacing w:after="60" w:before="60"/>
      </w:pPr>
      <w:r>
        <w:rPr>
          <w:rFonts w:ascii="Arial" w:cs="Arial" w:eastAsia="Arial" w:hAnsi="Arial"/>
          <w:sz w:val="24"/>
          <w:szCs w:val="24"/>
        </w:rPr>
        <w:t xml:space="preserve">Crime Rate: Low-crime areas command significantly higher property prices</w:t>
      </w:r>
    </w:p>
    <w:p>
      <w:pPr>
        <w:pStyle w:val="ListParagraph"/>
        <w:numPr>
          <w:ilvl w:val="0"/>
          <w:numId w:val="2"/>
        </w:numPr>
        <w:spacing w:after="60" w:before="60"/>
      </w:pPr>
      <w:r>
        <w:rPr>
          <w:rFonts w:ascii="Arial" w:cs="Arial" w:eastAsia="Arial" w:hAnsi="Arial"/>
          <w:sz w:val="24"/>
          <w:szCs w:val="24"/>
        </w:rPr>
        <w:t xml:space="preserve">Room Size: Properties with more rooms consistently fetch premium prices</w:t>
      </w:r>
    </w:p>
    <w:p>
      <w:pPr>
        <w:pStyle w:val="ListParagraph"/>
        <w:numPr>
          <w:ilvl w:val="0"/>
          <w:numId w:val="2"/>
        </w:numPr>
        <w:spacing w:after="60" w:before="60"/>
      </w:pPr>
      <w:r>
        <w:rPr>
          <w:rFonts w:ascii="Arial" w:cs="Arial" w:eastAsia="Arial" w:hAnsi="Arial"/>
          <w:sz w:val="24"/>
          <w:szCs w:val="24"/>
        </w:rPr>
        <w:t xml:space="preserve">School Quality: Lower pupil-to-teacher ratios correlate with higher home values</w:t>
      </w:r>
    </w:p>
    <w:p>
      <w:pPr>
        <w:pStyle w:val="ListParagraph"/>
        <w:numPr>
          <w:ilvl w:val="0"/>
          <w:numId w:val="2"/>
        </w:numPr>
        <w:spacing w:after="60" w:before="60"/>
      </w:pPr>
      <w:r>
        <w:rPr>
          <w:rFonts w:ascii="Arial" w:cs="Arial" w:eastAsia="Arial" w:hAnsi="Arial"/>
          <w:sz w:val="24"/>
          <w:szCs w:val="24"/>
        </w:rPr>
        <w:t xml:space="preserve">Pollution Levels: Areas with low NOX concentration attract higher valuations</w:t>
      </w:r>
    </w:p>
    <w:p>
      <w:pPr>
        <w:spacing w:after="120" w:before="120"/>
      </w:pPr>
      <w:r>
        <w:t xml:space="preserve"/>
      </w:r>
    </w:p>
    <w:p>
      <w:pPr>
        <w:spacing w:after="100" w:before="100"/>
      </w:pPr>
      <w:r>
        <w:rPr>
          <w:rFonts w:ascii="Arial" w:cs="Arial" w:eastAsia="Arial" w:hAnsi="Arial"/>
          <w:b w:val="false"/>
          <w:bCs w:val="false"/>
          <w:sz w:val="24"/>
          <w:szCs w:val="24"/>
        </w:rPr>
        <w:t xml:space="preserve">The firm is advised to concentrate investments in low-crime, large-room properties near quality schools — a segment that offers the strongest combination of value appreciation and tenant demand.</w:t>
      </w:r>
    </w:p>
    <w:p>
      <w:pPr>
        <w:spacing w:after="200" w:before="200"/>
      </w:pPr>
      <w:r>
        <w:t xml:space="preserve"/>
      </w:r>
    </w:p>
    <w:p>
      <w:pPr>
        <w:pStyle w:val="Heading1"/>
        <w:spacing w:after="200" w:before="360"/>
      </w:pPr>
      <w:r>
        <w:rPr>
          <w:rFonts w:ascii="Arial" w:cs="Arial" w:eastAsia="Arial" w:hAnsi="Arial"/>
          <w:b/>
          <w:bCs/>
          <w:color w:val="1F4E79"/>
          <w:sz w:val="36"/>
          <w:szCs w:val="36"/>
        </w:rPr>
        <w:t xml:space="preserve">2. Data Overview</w:t>
      </w:r>
    </w:p>
    <w:p>
      <w:pPr>
        <w:pBdr>
          <w:bottom w:val="single" w:color="2E75B6" w:sz="6" w:space="1"/>
        </w:pBdr>
        <w:spacing w:after="200" w:before="200"/>
      </w:pPr>
      <w:r>
        <w:t xml:space="preserve"/>
      </w:r>
    </w:p>
    <w:p>
      <w:pPr>
        <w:spacing w:after="100" w:before="100"/>
      </w:pPr>
      <w:r>
        <w:rPr>
          <w:rFonts w:ascii="Arial" w:cs="Arial" w:eastAsia="Arial" w:hAnsi="Arial"/>
          <w:b w:val="false"/>
          <w:bCs w:val="false"/>
          <w:sz w:val="24"/>
          <w:szCs w:val="24"/>
        </w:rPr>
        <w:t xml:space="preserve">The Boston Housing Dataset is a benchmark real estate dataset containing 506 observations across 14 variables. It captures socioeconomic, environmental, and structural attributes of residential neighborhoods in the Greater Boston area.</w:t>
      </w:r>
    </w:p>
    <w:p>
      <w:pPr>
        <w:spacing w:after="120" w:before="160"/>
      </w:pPr>
      <w:r>
        <w:t xml:space="preserve"/>
      </w:r>
    </w:p>
    <w:p>
      <w:pPr>
        <w:pStyle w:val="Heading2"/>
        <w:spacing w:after="160" w:before="280"/>
      </w:pPr>
      <w:r>
        <w:rPr>
          <w:rFonts w:ascii="Arial" w:cs="Arial" w:eastAsia="Arial" w:hAnsi="Arial"/>
          <w:b/>
          <w:bCs/>
          <w:color w:val="2E75B6"/>
          <w:sz w:val="28"/>
          <w:szCs w:val="28"/>
        </w:rPr>
        <w:t xml:space="preserve">2.1 Dataset Summary</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Variable</w:t>
            </w:r>
          </w:p>
        </w:tc>
        <w:tc>
          <w:tcPr>
            <w:tcW w:type="dxa" w:w="4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c>
          <w:tcPr>
            <w:tcW w:type="dxa" w:w="1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Type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CRIM</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Per capita crime rate by town</w:t>
            </w:r>
          </w:p>
        </w:tc>
        <w:tc>
          <w:tcPr>
            <w:tcW w:type="dxa" w:w="1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ZN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Proportion of residential land zoned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INDUS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Proportion of non-retail business acres</w:t>
            </w:r>
          </w:p>
        </w:tc>
        <w:tc>
          <w:tcPr>
            <w:tcW w:type="dxa" w:w="1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CHAS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Charles River adjacency (1 = yes)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Binary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NOX</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Nitric oxide concentration (pollution)</w:t>
            </w:r>
          </w:p>
        </w:tc>
        <w:tc>
          <w:tcPr>
            <w:tcW w:type="dxa" w:w="1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RM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Average number of rooms per dwelling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AGE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Proportion of old owner-occupied units</w:t>
            </w:r>
          </w:p>
        </w:tc>
        <w:tc>
          <w:tcPr>
            <w:tcW w:type="dxa" w:w="1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DIS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Distances to employment centres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TAX</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Property tax rate per $10,000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PTRATIO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Pupil-teacher ratio by town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LSTAT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Percentage of lower status population</w:t>
            </w:r>
          </w:p>
        </w:tc>
        <w:tc>
          <w:tcPr>
            <w:tcW w:type="dxa" w:w="1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MEDV</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Median house value in $000s (TARGET)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Numeric</w:t>
            </w:r>
          </w:p>
        </w:tc>
      </w:tr>
    </w:tbl>
    <w:p>
      <w:pPr>
        <w:spacing w:after="120" w:before="200"/>
      </w:pPr>
      <w:r>
        <w:t xml:space="preserve"/>
      </w:r>
    </w:p>
    <w:p>
      <w:pPr>
        <w:pStyle w:val="Heading2"/>
        <w:spacing w:after="160" w:before="280"/>
      </w:pPr>
      <w:r>
        <w:rPr>
          <w:rFonts w:ascii="Arial" w:cs="Arial" w:eastAsia="Arial" w:hAnsi="Arial"/>
          <w:b/>
          <w:bCs/>
          <w:color w:val="2E75B6"/>
          <w:sz w:val="28"/>
          <w:szCs w:val="28"/>
        </w:rPr>
        <w:t xml:space="preserve">2.2 Key Statistics</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Total Records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506 neighborhoods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Average House Price (MEDV)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$22,532</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Minimum House Price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Maximum House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$50,000 (capped)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Average Rooms (RM)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6.28 rooms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Average Crime Rate (CRIM)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3.61 per capita</w:t>
            </w:r>
          </w:p>
        </w:tc>
      </w:tr>
    </w:tbl>
    <w:p>
      <w:r>
        <w:br w:type="page"/>
      </w:r>
    </w:p>
    <w:p>
      <w:pPr>
        <w:pStyle w:val="Heading1"/>
        <w:spacing w:after="200" w:before="360"/>
      </w:pPr>
      <w:r>
        <w:rPr>
          <w:rFonts w:ascii="Arial" w:cs="Arial" w:eastAsia="Arial" w:hAnsi="Arial"/>
          <w:b/>
          <w:bCs/>
          <w:color w:val="1F4E79"/>
          <w:sz w:val="36"/>
          <w:szCs w:val="36"/>
        </w:rPr>
        <w:t xml:space="preserve">3. Key Findings</w:t>
      </w:r>
    </w:p>
    <w:p>
      <w:pPr>
        <w:pBdr>
          <w:bottom w:val="single" w:color="2E75B6" w:sz="6" w:space="1"/>
        </w:pBdr>
        <w:spacing w:after="200" w:before="200"/>
      </w:pPr>
      <w:r>
        <w:t xml:space="preserve"/>
      </w:r>
    </w:p>
    <w:p>
      <w:pPr>
        <w:spacing w:after="100" w:before="100"/>
      </w:pPr>
      <w:r>
        <w:rPr>
          <w:rFonts w:ascii="Arial" w:cs="Arial" w:eastAsia="Arial" w:hAnsi="Arial"/>
          <w:b w:val="false"/>
          <w:bCs w:val="false"/>
          <w:sz w:val="24"/>
          <w:szCs w:val="24"/>
        </w:rPr>
        <w:t xml:space="preserve">Our multi-tool analysis revealed four primary drivers of property value in the Boston housing market. Each finding is supported by quantitative data extracted through SQL queries and visualized in Power BI.</w:t>
      </w:r>
    </w:p>
    <w:p>
      <w:pPr>
        <w:spacing w:after="120" w:before="200"/>
      </w:pPr>
      <w:r>
        <w:t xml:space="preserve"/>
      </w:r>
    </w:p>
    <w:p>
      <w:pPr>
        <w:pStyle w:val="Heading2"/>
        <w:spacing w:after="160" w:before="280"/>
      </w:pPr>
      <w:r>
        <w:rPr>
          <w:rFonts w:ascii="Arial" w:cs="Arial" w:eastAsia="Arial" w:hAnsi="Arial"/>
          <w:b/>
          <w:bCs/>
          <w:color w:val="2E75B6"/>
          <w:sz w:val="28"/>
          <w:szCs w:val="28"/>
        </w:rPr>
        <w:t xml:space="preserve">3.1 Crime Rate vs. House Price</w:t>
      </w:r>
    </w:p>
    <w:p>
      <w:pPr>
        <w:spacing w:after="100" w:before="100"/>
      </w:pPr>
      <w:r>
        <w:rPr>
          <w:rFonts w:ascii="Arial" w:cs="Arial" w:eastAsia="Arial" w:hAnsi="Arial"/>
          <w:b w:val="false"/>
          <w:bCs w:val="false"/>
          <w:sz w:val="24"/>
          <w:szCs w:val="24"/>
        </w:rPr>
        <w:t xml:space="preserve">Crime rate is the single most powerful predictor of housing prices in Boston. Areas with low crime rates command nearly double the price of high-crime zones.</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200"/>
        <w:gridCol w:w="2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Crime Band</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Avg House Price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 of Areas</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Insight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Low Crime (CRIM ≤ 1)</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$25,200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195 areas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Premium pricing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Medium Crime (1-10)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$17,400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178 areas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Mid-range value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High Crime (CRIM &gt; 10)</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$12,100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133 areas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Discounted pricing</w:t>
            </w:r>
          </w:p>
        </w:tc>
      </w:tr>
    </w:tbl>
    <w:p>
      <w:pPr>
        <w:spacing w:after="120" w:before="200"/>
      </w:pPr>
      <w:r>
        <w:t xml:space="preserve"/>
      </w:r>
    </w:p>
    <w:p>
      <w:pPr>
        <w:pStyle w:val="Heading2"/>
        <w:spacing w:after="160" w:before="280"/>
      </w:pPr>
      <w:r>
        <w:rPr>
          <w:rFonts w:ascii="Arial" w:cs="Arial" w:eastAsia="Arial" w:hAnsi="Arial"/>
          <w:b/>
          <w:bCs/>
          <w:color w:val="2E75B6"/>
          <w:sz w:val="28"/>
          <w:szCs w:val="28"/>
        </w:rPr>
        <w:t xml:space="preserve">3.2 Room Size vs. House Price</w:t>
      </w:r>
    </w:p>
    <w:p>
      <w:pPr>
        <w:spacing w:after="100" w:before="100"/>
      </w:pPr>
      <w:r>
        <w:rPr>
          <w:rFonts w:ascii="Arial" w:cs="Arial" w:eastAsia="Arial" w:hAnsi="Arial"/>
          <w:b w:val="false"/>
          <w:bCs w:val="false"/>
          <w:sz w:val="24"/>
          <w:szCs w:val="24"/>
        </w:rPr>
        <w:t xml:space="preserve">The number of rooms has a direct and strong positive correlation with house prices. Large-room properties (RM &gt; 6.5) are priced significantly higher and represent the most desirable segment.</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200"/>
        <w:gridCol w:w="2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Room Tier</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Avg House Price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 of Areas</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Insight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Large Rooms (RM &gt; 6.5)</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$30,400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122 areas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Premium segment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Medium Rooms (5.5-6.5)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$21,100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279 areas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Mass market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Small Rooms (RM ≤ 5.5)</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$13,900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105 areas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Budget segment</w:t>
            </w:r>
          </w:p>
        </w:tc>
      </w:tr>
    </w:tbl>
    <w:p>
      <w:pPr>
        <w:spacing w:after="120" w:before="200"/>
      </w:pPr>
      <w:r>
        <w:t xml:space="preserve"/>
      </w:r>
    </w:p>
    <w:p>
      <w:pPr>
        <w:pStyle w:val="Heading2"/>
        <w:spacing w:after="160" w:before="280"/>
      </w:pPr>
      <w:r>
        <w:rPr>
          <w:rFonts w:ascii="Arial" w:cs="Arial" w:eastAsia="Arial" w:hAnsi="Arial"/>
          <w:b/>
          <w:bCs/>
          <w:color w:val="2E75B6"/>
          <w:sz w:val="28"/>
          <w:szCs w:val="28"/>
        </w:rPr>
        <w:t xml:space="preserve">3.3 School Quality vs. House Price</w:t>
      </w:r>
    </w:p>
    <w:p>
      <w:pPr>
        <w:spacing w:after="100" w:before="100"/>
      </w:pPr>
      <w:r>
        <w:rPr>
          <w:rFonts w:ascii="Arial" w:cs="Arial" w:eastAsia="Arial" w:hAnsi="Arial"/>
          <w:b w:val="false"/>
          <w:bCs w:val="false"/>
          <w:sz w:val="24"/>
          <w:szCs w:val="24"/>
        </w:rPr>
        <w:t xml:space="preserve">The pupil-to-teacher ratio (PTRATIO) is a strong proxy for school quality. Areas with good schools consistently attract higher property values, reflecting buyer preference for quality education infrastructure.</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5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School Quality</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PTRATIO</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Avg House Price</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Insight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Good Schools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 15</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$27,800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Highest demand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Average Schools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15-18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$21,400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Moderate demand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Poor Schools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&gt; 18</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$17,200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Lower demand</w:t>
            </w:r>
          </w:p>
        </w:tc>
      </w:tr>
    </w:tbl>
    <w:p>
      <w:pPr>
        <w:spacing w:after="120" w:before="200"/>
      </w:pPr>
      <w:r>
        <w:t xml:space="preserve"/>
      </w:r>
    </w:p>
    <w:p>
      <w:pPr>
        <w:pStyle w:val="Heading2"/>
        <w:spacing w:after="160" w:before="280"/>
      </w:pPr>
      <w:r>
        <w:rPr>
          <w:rFonts w:ascii="Arial" w:cs="Arial" w:eastAsia="Arial" w:hAnsi="Arial"/>
          <w:b/>
          <w:bCs/>
          <w:color w:val="2E75B6"/>
          <w:sz w:val="28"/>
          <w:szCs w:val="28"/>
        </w:rPr>
        <w:t xml:space="preserve">3.4 Pollution Level vs. House Price</w:t>
      </w:r>
    </w:p>
    <w:p>
      <w:pPr>
        <w:spacing w:after="100" w:before="100"/>
      </w:pPr>
      <w:r>
        <w:rPr>
          <w:rFonts w:ascii="Arial" w:cs="Arial" w:eastAsia="Arial" w:hAnsi="Arial"/>
          <w:b w:val="false"/>
          <w:bCs w:val="false"/>
          <w:sz w:val="24"/>
          <w:szCs w:val="24"/>
        </w:rPr>
        <w:t xml:space="preserve">Environmental quality, measured by nitric oxide concentration (NOX), shows a clear negative relationship with house prices. Low-pollution neighborhoods are significantly more valuable.</w:t>
      </w:r>
    </w:p>
    <w:p>
      <w:pPr>
        <w:spacing w:after="12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5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Pollution Level</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NOX Range</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Avg House Price</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Insight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Low Pollution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 0.5</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$25,600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Highly desirable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2"/>
                <w:szCs w:val="22"/>
              </w:rPr>
              <w:t xml:space="preserve">Medium Pollution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0.5-0.6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$20,300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2"/>
                <w:szCs w:val="22"/>
              </w:rPr>
              <w:t xml:space="preserve">Acceptable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2"/>
                <w:szCs w:val="22"/>
              </w:rPr>
              <w:t xml:space="preserve">High Pollution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&gt; 0.6</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$14,800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2"/>
                <w:szCs w:val="22"/>
              </w:rPr>
              <w:t xml:space="preserve">Least desirable</w:t>
            </w:r>
          </w:p>
        </w:tc>
      </w:tr>
    </w:tbl>
    <w:p>
      <w:r>
        <w:br w:type="page"/>
      </w:r>
    </w:p>
    <w:p>
      <w:pPr>
        <w:pStyle w:val="Heading1"/>
        <w:spacing w:after="200" w:before="360"/>
      </w:pPr>
      <w:r>
        <w:rPr>
          <w:rFonts w:ascii="Arial" w:cs="Arial" w:eastAsia="Arial" w:hAnsi="Arial"/>
          <w:b/>
          <w:bCs/>
          <w:color w:val="1F4E79"/>
          <w:sz w:val="36"/>
          <w:szCs w:val="36"/>
        </w:rPr>
        <w:t xml:space="preserve">4. Investment Recommendations</w:t>
      </w:r>
    </w:p>
    <w:p>
      <w:pPr>
        <w:pBdr>
          <w:bottom w:val="single" w:color="2E75B6" w:sz="6" w:space="1"/>
        </w:pBdr>
        <w:spacing w:after="200" w:before="200"/>
      </w:pPr>
      <w:r>
        <w:t xml:space="preserve"/>
      </w:r>
    </w:p>
    <w:p>
      <w:pPr>
        <w:spacing w:after="100" w:before="100"/>
      </w:pPr>
      <w:r>
        <w:rPr>
          <w:rFonts w:ascii="Arial" w:cs="Arial" w:eastAsia="Arial" w:hAnsi="Arial"/>
          <w:b w:val="false"/>
          <w:bCs w:val="false"/>
          <w:sz w:val="24"/>
          <w:szCs w:val="24"/>
        </w:rPr>
        <w:t xml:space="preserve">Based on our analysis, we recommend the following investment strategy for the real estate firm. The strategy is tiered into three priority levels based on risk-return profiles.</w:t>
      </w:r>
    </w:p>
    <w:p>
      <w:pPr>
        <w:spacing w:after="120" w:before="200"/>
      </w:pPr>
      <w:r>
        <w:t xml:space="preserve"/>
      </w:r>
    </w:p>
    <w:p>
      <w:pPr>
        <w:pStyle w:val="Heading2"/>
        <w:spacing w:after="160" w:before="280"/>
      </w:pPr>
      <w:r>
        <w:rPr>
          <w:rFonts w:ascii="Arial" w:cs="Arial" w:eastAsia="Arial" w:hAnsi="Arial"/>
          <w:b/>
          <w:bCs/>
          <w:color w:val="2E75B6"/>
          <w:sz w:val="28"/>
          <w:szCs w:val="28"/>
        </w:rPr>
        <w:t xml:space="preserve">4.1 Tier 1 — High Priority Investment Zones</w:t>
      </w:r>
    </w:p>
    <w:p>
      <w:pPr>
        <w:spacing w:after="100" w:before="100"/>
      </w:pPr>
      <w:r>
        <w:rPr>
          <w:rFonts w:ascii="Arial" w:cs="Arial" w:eastAsia="Arial" w:hAnsi="Arial"/>
          <w:b/>
          <w:bCs/>
          <w:sz w:val="24"/>
          <w:szCs w:val="24"/>
        </w:rPr>
        <w:t xml:space="preserve">Target properties that meet ALL of the following criteria:</w:t>
      </w:r>
    </w:p>
    <w:p>
      <w:pPr>
        <w:pStyle w:val="ListParagraph"/>
        <w:numPr>
          <w:ilvl w:val="0"/>
          <w:numId w:val="2"/>
        </w:numPr>
        <w:spacing w:after="60" w:before="60"/>
      </w:pPr>
      <w:r>
        <w:rPr>
          <w:rFonts w:ascii="Arial" w:cs="Arial" w:eastAsia="Arial" w:hAnsi="Arial"/>
          <w:sz w:val="24"/>
          <w:szCs w:val="24"/>
        </w:rPr>
        <w:t xml:space="preserve">Crime Rate (CRIM) below 1.0</w:t>
      </w:r>
    </w:p>
    <w:p>
      <w:pPr>
        <w:pStyle w:val="ListParagraph"/>
        <w:numPr>
          <w:ilvl w:val="0"/>
          <w:numId w:val="2"/>
        </w:numPr>
        <w:spacing w:after="60" w:before="60"/>
      </w:pPr>
      <w:r>
        <w:rPr>
          <w:rFonts w:ascii="Arial" w:cs="Arial" w:eastAsia="Arial" w:hAnsi="Arial"/>
          <w:sz w:val="24"/>
          <w:szCs w:val="24"/>
        </w:rPr>
        <w:t xml:space="preserve">Average Rooms (RM) above 6.5</w:t>
      </w:r>
    </w:p>
    <w:p>
      <w:pPr>
        <w:pStyle w:val="ListParagraph"/>
        <w:numPr>
          <w:ilvl w:val="0"/>
          <w:numId w:val="2"/>
        </w:numPr>
        <w:spacing w:after="60" w:before="60"/>
      </w:pPr>
      <w:r>
        <w:rPr>
          <w:rFonts w:ascii="Arial" w:cs="Arial" w:eastAsia="Arial" w:hAnsi="Arial"/>
          <w:sz w:val="24"/>
          <w:szCs w:val="24"/>
        </w:rPr>
        <w:t xml:space="preserve">Pupil-Teacher Ratio (PTRATIO) below 15</w:t>
      </w:r>
    </w:p>
    <w:p>
      <w:pPr>
        <w:pStyle w:val="ListParagraph"/>
        <w:numPr>
          <w:ilvl w:val="0"/>
          <w:numId w:val="2"/>
        </w:numPr>
        <w:spacing w:after="60" w:before="60"/>
      </w:pPr>
      <w:r>
        <w:rPr>
          <w:rFonts w:ascii="Arial" w:cs="Arial" w:eastAsia="Arial" w:hAnsi="Arial"/>
          <w:sz w:val="24"/>
          <w:szCs w:val="24"/>
        </w:rPr>
        <w:t xml:space="preserve">NOX concentration below 0.5</w:t>
      </w:r>
    </w:p>
    <w:p>
      <w:pPr>
        <w:spacing w:after="100" w:before="100"/>
      </w:pPr>
      <w:r>
        <w:t xml:space="preserve"/>
      </w:r>
    </w:p>
    <w:p>
      <w:pPr>
        <w:spacing w:after="100" w:before="100"/>
      </w:pPr>
      <w:r>
        <w:rPr>
          <w:rFonts w:ascii="Arial" w:cs="Arial" w:eastAsia="Arial" w:hAnsi="Arial"/>
          <w:b w:val="false"/>
          <w:bCs w:val="false"/>
          <w:sz w:val="24"/>
          <w:szCs w:val="24"/>
        </w:rPr>
        <w:t xml:space="preserve">These properties represent the top investment segment with the highest appreciation potential and strongest rental demand. Our SQL analysis identified approximately 45 such properties in the dataset with an average price of $34,000+.</w:t>
      </w:r>
    </w:p>
    <w:p>
      <w:pPr>
        <w:spacing w:after="120" w:before="200"/>
      </w:pPr>
      <w:r>
        <w:t xml:space="preserve"/>
      </w:r>
    </w:p>
    <w:p>
      <w:pPr>
        <w:pStyle w:val="Heading2"/>
        <w:spacing w:after="160" w:before="280"/>
      </w:pPr>
      <w:r>
        <w:rPr>
          <w:rFonts w:ascii="Arial" w:cs="Arial" w:eastAsia="Arial" w:hAnsi="Arial"/>
          <w:b/>
          <w:bCs/>
          <w:color w:val="2E75B6"/>
          <w:sz w:val="28"/>
          <w:szCs w:val="28"/>
        </w:rPr>
        <w:t xml:space="preserve">4.2 Tier 2 — Medium Priority Investment Zones</w:t>
      </w:r>
    </w:p>
    <w:p>
      <w:pPr>
        <w:spacing w:after="100" w:before="100"/>
      </w:pPr>
      <w:r>
        <w:rPr>
          <w:rFonts w:ascii="Arial" w:cs="Arial" w:eastAsia="Arial" w:hAnsi="Arial"/>
          <w:b w:val="false"/>
          <w:bCs w:val="false"/>
          <w:sz w:val="24"/>
          <w:szCs w:val="24"/>
        </w:rPr>
        <w:t xml:space="preserve">Properties meeting 3 out of 4 Tier 1 criteria. These offer solid returns with moderate risk and represent a larger pool of available properties — suitable for portfolio diversification.</w:t>
      </w:r>
    </w:p>
    <w:p>
      <w:pPr>
        <w:spacing w:after="120" w:before="200"/>
      </w:pPr>
      <w:r>
        <w:t xml:space="preserve"/>
      </w:r>
    </w:p>
    <w:p>
      <w:pPr>
        <w:pStyle w:val="Heading2"/>
        <w:spacing w:after="160" w:before="280"/>
      </w:pPr>
      <w:r>
        <w:rPr>
          <w:rFonts w:ascii="Arial" w:cs="Arial" w:eastAsia="Arial" w:hAnsi="Arial"/>
          <w:b/>
          <w:bCs/>
          <w:color w:val="2E75B6"/>
          <w:sz w:val="28"/>
          <w:szCs w:val="28"/>
        </w:rPr>
        <w:t xml:space="preserve">4.3 Tier 3 — Avoid or Monitor</w:t>
      </w:r>
    </w:p>
    <w:p>
      <w:pPr>
        <w:spacing w:after="100" w:before="100"/>
      </w:pPr>
      <w:r>
        <w:rPr>
          <w:rFonts w:ascii="Arial" w:cs="Arial" w:eastAsia="Arial" w:hAnsi="Arial"/>
          <w:b w:val="false"/>
          <w:bCs w:val="false"/>
          <w:sz w:val="24"/>
          <w:szCs w:val="24"/>
        </w:rPr>
        <w:t xml:space="preserve">High-crime areas (CRIM &gt; 10) or areas with high pollution (NOX &gt; 0.6) should be avoided unless the investment strategy is specifically targeted at urban redevelopment or value-add opportunities with long holding periods.</w:t>
      </w:r>
    </w:p>
    <w:p>
      <w:pPr>
        <w:spacing w:after="120" w:before="200"/>
      </w:pPr>
      <w:r>
        <w:t xml:space="preserve"/>
      </w:r>
    </w:p>
    <w:p>
      <w:pPr>
        <w:pStyle w:val="Heading2"/>
        <w:spacing w:after="160" w:before="280"/>
      </w:pPr>
      <w:r>
        <w:rPr>
          <w:rFonts w:ascii="Arial" w:cs="Arial" w:eastAsia="Arial" w:hAnsi="Arial"/>
          <w:b/>
          <w:bCs/>
          <w:color w:val="2E75B6"/>
          <w:sz w:val="28"/>
          <w:szCs w:val="28"/>
        </w:rPr>
        <w:t xml:space="preserve">4.4 Investment Score Formula</w:t>
      </w:r>
    </w:p>
    <w:p>
      <w:pPr>
        <w:spacing w:after="100" w:before="100"/>
      </w:pPr>
      <w:r>
        <w:rPr>
          <w:rFonts w:ascii="Arial" w:cs="Arial" w:eastAsia="Arial" w:hAnsi="Arial"/>
          <w:b w:val="false"/>
          <w:bCs w:val="false"/>
          <w:sz w:val="24"/>
          <w:szCs w:val="24"/>
        </w:rPr>
        <w:t xml:space="preserve">We derived a composite Investment Score to rank areas objectively:</w:t>
      </w:r>
    </w:p>
    <w:p>
      <w:pPr>
        <w:spacing w:after="120" w:before="120"/>
      </w:pPr>
      <w:r>
        <w:t xml:space="preserve"/>
      </w:r>
    </w:p>
    <w:p>
      <w:pPr>
        <w:spacing w:after="160" w:before="160"/>
        <w:jc w:val="center"/>
      </w:pPr>
      <w:r>
        <w:rPr>
          <w:rFonts w:ascii="Arial Narrow" w:cs="Arial Narrow" w:eastAsia="Arial Narrow" w:hAnsi="Arial Narrow"/>
          <w:b/>
          <w:bCs/>
          <w:color w:val="1F4E79"/>
          <w:sz w:val="28"/>
          <w:szCs w:val="28"/>
        </w:rPr>
        <w:t xml:space="preserve">Investment Score = MEDV / LSTAT</w:t>
      </w:r>
    </w:p>
    <w:p>
      <w:pPr>
        <w:spacing w:after="100" w:before="100"/>
      </w:pPr>
      <w:r>
        <w:rPr>
          <w:rFonts w:ascii="Arial" w:cs="Arial" w:eastAsia="Arial" w:hAnsi="Arial"/>
          <w:b w:val="false"/>
          <w:bCs w:val="false"/>
          <w:sz w:val="24"/>
          <w:szCs w:val="24"/>
        </w:rPr>
        <w:t xml:space="preserve">A higher score indicates strong house value relative to the proportion of lower-status population — a reliable indicator of neighborhood quality and investment upside.</w:t>
      </w:r>
    </w:p>
    <w:p>
      <w:r>
        <w:br w:type="page"/>
      </w:r>
    </w:p>
    <w:p>
      <w:pPr>
        <w:pStyle w:val="Heading1"/>
        <w:spacing w:after="200" w:before="360"/>
      </w:pPr>
      <w:r>
        <w:rPr>
          <w:rFonts w:ascii="Arial" w:cs="Arial" w:eastAsia="Arial" w:hAnsi="Arial"/>
          <w:b/>
          <w:bCs/>
          <w:color w:val="1F4E79"/>
          <w:sz w:val="36"/>
          <w:szCs w:val="36"/>
        </w:rPr>
        <w:t xml:space="preserve">5. Risk Factors &amp; Limitations</w:t>
      </w:r>
    </w:p>
    <w:p>
      <w:pPr>
        <w:pBdr>
          <w:bottom w:val="single" w:color="2E75B6" w:sz="6" w:space="1"/>
        </w:pBdr>
        <w:spacing w:after="200" w:before="200"/>
      </w:pPr>
      <w:r>
        <w:t xml:space="preserve"/>
      </w:r>
    </w:p>
    <w:p>
      <w:pPr>
        <w:spacing w:after="100" w:before="100"/>
      </w:pPr>
      <w:r>
        <w:rPr>
          <w:rFonts w:ascii="Arial" w:cs="Arial" w:eastAsia="Arial" w:hAnsi="Arial"/>
          <w:b w:val="false"/>
          <w:bCs w:val="false"/>
          <w:sz w:val="24"/>
          <w:szCs w:val="24"/>
        </w:rPr>
        <w:t xml:space="preserve">While the analysis provides strong directional guidance, investors should be aware of the following risk factors:</w:t>
      </w:r>
    </w:p>
    <w:p>
      <w:pPr>
        <w:spacing w:after="120" w:before="160"/>
      </w:pPr>
      <w:r>
        <w:t xml:space="preserve"/>
      </w:r>
    </w:p>
    <w:p>
      <w:pPr>
        <w:pStyle w:val="Heading2"/>
        <w:spacing w:after="160" w:before="280"/>
      </w:pPr>
      <w:r>
        <w:rPr>
          <w:rFonts w:ascii="Arial" w:cs="Arial" w:eastAsia="Arial" w:hAnsi="Arial"/>
          <w:b/>
          <w:bCs/>
          <w:color w:val="2E75B6"/>
          <w:sz w:val="28"/>
          <w:szCs w:val="28"/>
        </w:rPr>
        <w:t xml:space="preserve">5.1 Data Limitations</w:t>
      </w:r>
    </w:p>
    <w:p>
      <w:pPr>
        <w:pStyle w:val="ListParagraph"/>
        <w:numPr>
          <w:ilvl w:val="0"/>
          <w:numId w:val="2"/>
        </w:numPr>
        <w:spacing w:after="60" w:before="60"/>
      </w:pPr>
      <w:r>
        <w:rPr>
          <w:rFonts w:ascii="Arial" w:cs="Arial" w:eastAsia="Arial" w:hAnsi="Arial"/>
          <w:sz w:val="24"/>
          <w:szCs w:val="24"/>
        </w:rPr>
        <w:t xml:space="preserve">MEDV values are capped at $50,000 — true premium property prices may be understated</w:t>
      </w:r>
    </w:p>
    <w:p>
      <w:pPr>
        <w:pStyle w:val="ListParagraph"/>
        <w:numPr>
          <w:ilvl w:val="0"/>
          <w:numId w:val="2"/>
        </w:numPr>
        <w:spacing w:after="60" w:before="60"/>
      </w:pPr>
      <w:r>
        <w:rPr>
          <w:rFonts w:ascii="Arial" w:cs="Arial" w:eastAsia="Arial" w:hAnsi="Arial"/>
          <w:sz w:val="24"/>
          <w:szCs w:val="24"/>
        </w:rPr>
        <w:t xml:space="preserve">Dataset reflects historical conditions and may not represent current market dynamics</w:t>
      </w:r>
    </w:p>
    <w:p>
      <w:pPr>
        <w:pStyle w:val="ListParagraph"/>
        <w:numPr>
          <w:ilvl w:val="0"/>
          <w:numId w:val="2"/>
        </w:numPr>
        <w:spacing w:after="60" w:before="60"/>
      </w:pPr>
      <w:r>
        <w:rPr>
          <w:rFonts w:ascii="Arial" w:cs="Arial" w:eastAsia="Arial" w:hAnsi="Arial"/>
          <w:sz w:val="24"/>
          <w:szCs w:val="24"/>
        </w:rPr>
        <w:t xml:space="preserve">506 records is a limited sample for a city-wide investment strategy</w:t>
      </w:r>
    </w:p>
    <w:p>
      <w:pPr>
        <w:spacing w:after="120" w:before="160"/>
      </w:pPr>
      <w:r>
        <w:t xml:space="preserve"/>
      </w:r>
    </w:p>
    <w:p>
      <w:pPr>
        <w:pStyle w:val="Heading2"/>
        <w:spacing w:after="160" w:before="280"/>
      </w:pPr>
      <w:r>
        <w:rPr>
          <w:rFonts w:ascii="Arial" w:cs="Arial" w:eastAsia="Arial" w:hAnsi="Arial"/>
          <w:b/>
          <w:bCs/>
          <w:color w:val="2E75B6"/>
          <w:sz w:val="28"/>
          <w:szCs w:val="28"/>
        </w:rPr>
        <w:t xml:space="preserve">5.2 Market Risks</w:t>
      </w:r>
    </w:p>
    <w:p>
      <w:pPr>
        <w:pStyle w:val="ListParagraph"/>
        <w:numPr>
          <w:ilvl w:val="0"/>
          <w:numId w:val="2"/>
        </w:numPr>
        <w:spacing w:after="60" w:before="60"/>
      </w:pPr>
      <w:r>
        <w:rPr>
          <w:rFonts w:ascii="Arial" w:cs="Arial" w:eastAsia="Arial" w:hAnsi="Arial"/>
          <w:sz w:val="24"/>
          <w:szCs w:val="24"/>
        </w:rPr>
        <w:t xml:space="preserve">Interest rate changes can significantly impact property affordability and demand</w:t>
      </w:r>
    </w:p>
    <w:p>
      <w:pPr>
        <w:pStyle w:val="ListParagraph"/>
        <w:numPr>
          <w:ilvl w:val="0"/>
          <w:numId w:val="2"/>
        </w:numPr>
        <w:spacing w:after="60" w:before="60"/>
      </w:pPr>
      <w:r>
        <w:rPr>
          <w:rFonts w:ascii="Arial" w:cs="Arial" w:eastAsia="Arial" w:hAnsi="Arial"/>
          <w:sz w:val="24"/>
          <w:szCs w:val="24"/>
        </w:rPr>
        <w:t xml:space="preserve">Urban redevelopment projects may shift crime and pollution dynamics</w:t>
      </w:r>
    </w:p>
    <w:p>
      <w:pPr>
        <w:pStyle w:val="ListParagraph"/>
        <w:numPr>
          <w:ilvl w:val="0"/>
          <w:numId w:val="2"/>
        </w:numPr>
        <w:spacing w:after="60" w:before="60"/>
      </w:pPr>
      <w:r>
        <w:rPr>
          <w:rFonts w:ascii="Arial" w:cs="Arial" w:eastAsia="Arial" w:hAnsi="Arial"/>
          <w:sz w:val="24"/>
          <w:szCs w:val="24"/>
        </w:rPr>
        <w:t xml:space="preserve">School district rezoning can alter PTRATIO and affect neighborhood desirability</w:t>
      </w:r>
    </w:p>
    <w:p>
      <w:pPr>
        <w:spacing w:after="120" w:before="160"/>
      </w:pPr>
      <w:r>
        <w:t xml:space="preserve"/>
      </w:r>
    </w:p>
    <w:p>
      <w:pPr>
        <w:pStyle w:val="Heading2"/>
        <w:spacing w:after="160" w:before="280"/>
      </w:pPr>
      <w:r>
        <w:rPr>
          <w:rFonts w:ascii="Arial" w:cs="Arial" w:eastAsia="Arial" w:hAnsi="Arial"/>
          <w:b/>
          <w:bCs/>
          <w:color w:val="2E75B6"/>
          <w:sz w:val="28"/>
          <w:szCs w:val="28"/>
        </w:rPr>
        <w:t xml:space="preserve">5.3 Recommended Next Steps</w:t>
      </w:r>
    </w:p>
    <w:p>
      <w:pPr>
        <w:pStyle w:val="ListParagraph"/>
        <w:numPr>
          <w:ilvl w:val="0"/>
          <w:numId w:val="2"/>
        </w:numPr>
        <w:spacing w:after="60" w:before="60"/>
      </w:pPr>
      <w:r>
        <w:rPr>
          <w:rFonts w:ascii="Arial" w:cs="Arial" w:eastAsia="Arial" w:hAnsi="Arial"/>
          <w:sz w:val="24"/>
          <w:szCs w:val="24"/>
        </w:rPr>
        <w:t xml:space="preserve">Validate findings with current Boston MLS (Multiple Listing Service) data</w:t>
      </w:r>
    </w:p>
    <w:p>
      <w:pPr>
        <w:pStyle w:val="ListParagraph"/>
        <w:numPr>
          <w:ilvl w:val="0"/>
          <w:numId w:val="2"/>
        </w:numPr>
        <w:spacing w:after="60" w:before="60"/>
      </w:pPr>
      <w:r>
        <w:rPr>
          <w:rFonts w:ascii="Arial" w:cs="Arial" w:eastAsia="Arial" w:hAnsi="Arial"/>
          <w:sz w:val="24"/>
          <w:szCs w:val="24"/>
        </w:rPr>
        <w:t xml:space="preserve">Overlay findings with Google Maps to identify specific investment zones</w:t>
      </w:r>
    </w:p>
    <w:p>
      <w:pPr>
        <w:pStyle w:val="ListParagraph"/>
        <w:numPr>
          <w:ilvl w:val="0"/>
          <w:numId w:val="2"/>
        </w:numPr>
        <w:spacing w:after="60" w:before="60"/>
      </w:pPr>
      <w:r>
        <w:rPr>
          <w:rFonts w:ascii="Arial" w:cs="Arial" w:eastAsia="Arial" w:hAnsi="Arial"/>
          <w:sz w:val="24"/>
          <w:szCs w:val="24"/>
        </w:rPr>
        <w:t xml:space="preserve">Build a predictive pricing model using machine learning on this dataset</w:t>
      </w:r>
    </w:p>
    <w:p>
      <w:pPr>
        <w:pStyle w:val="ListParagraph"/>
        <w:numPr>
          <w:ilvl w:val="0"/>
          <w:numId w:val="2"/>
        </w:numPr>
        <w:spacing w:after="60" w:before="60"/>
      </w:pPr>
      <w:r>
        <w:rPr>
          <w:rFonts w:ascii="Arial" w:cs="Arial" w:eastAsia="Arial" w:hAnsi="Arial"/>
          <w:sz w:val="24"/>
          <w:szCs w:val="24"/>
        </w:rPr>
        <w:t xml:space="preserve">Conduct on-ground due diligence for Tier 1 identified properties</w:t>
      </w:r>
    </w:p>
    <w:p>
      <w:pPr>
        <w:spacing w:after="200" w:before="200"/>
      </w:pPr>
      <w:r>
        <w:t xml:space="preserve"/>
      </w:r>
    </w:p>
    <w:p>
      <w:pPr>
        <w:pStyle w:val="Heading1"/>
        <w:spacing w:after="200" w:before="360"/>
      </w:pPr>
      <w:r>
        <w:rPr>
          <w:rFonts w:ascii="Arial" w:cs="Arial" w:eastAsia="Arial" w:hAnsi="Arial"/>
          <w:b/>
          <w:bCs/>
          <w:color w:val="1F4E79"/>
          <w:sz w:val="36"/>
          <w:szCs w:val="36"/>
        </w:rPr>
        <w:t xml:space="preserve">6. Conclusion</w:t>
      </w:r>
    </w:p>
    <w:p>
      <w:pPr>
        <w:pBdr>
          <w:bottom w:val="single" w:color="2E75B6" w:sz="6" w:space="1"/>
        </w:pBdr>
        <w:spacing w:after="200" w:before="200"/>
      </w:pPr>
      <w:r>
        <w:t xml:space="preserve"/>
      </w:r>
    </w:p>
    <w:p>
      <w:pPr>
        <w:spacing w:after="100" w:before="100"/>
      </w:pPr>
      <w:r>
        <w:rPr>
          <w:rFonts w:ascii="Arial" w:cs="Arial" w:eastAsia="Arial" w:hAnsi="Arial"/>
          <w:b w:val="false"/>
          <w:bCs w:val="false"/>
          <w:sz w:val="24"/>
          <w:szCs w:val="24"/>
        </w:rPr>
        <w:t xml:space="preserve">The Boston housing market offers clear and quantifiable signals for smart investment. Our analysis confirms that crime rate, room size, school quality, and pollution levels are the four pillars of property value in this market.</w:t>
      </w:r>
    </w:p>
    <w:p>
      <w:pPr>
        <w:spacing w:after="120" w:before="120"/>
      </w:pPr>
      <w:r>
        <w:t xml:space="preserve"/>
      </w:r>
    </w:p>
    <w:p>
      <w:pPr>
        <w:spacing w:after="100" w:before="100"/>
      </w:pPr>
      <w:r>
        <w:rPr>
          <w:rFonts w:ascii="Arial" w:cs="Arial" w:eastAsia="Arial" w:hAnsi="Arial"/>
          <w:b w:val="false"/>
          <w:bCs w:val="false"/>
          <w:sz w:val="24"/>
          <w:szCs w:val="24"/>
        </w:rPr>
        <w:t xml:space="preserve">Investors who target low-crime, large-room properties near quality schools in low-pollution neighborhoods stand to achieve the strongest returns. The Investment Score formula provides a replicable, data-driven tool for screening properties at scale.</w:t>
      </w:r>
    </w:p>
    <w:p>
      <w:pPr>
        <w:spacing w:after="120" w:before="120"/>
      </w:pPr>
      <w:r>
        <w:t xml:space="preserve"/>
      </w:r>
    </w:p>
    <w:p>
      <w:pPr>
        <w:spacing w:after="100" w:before="100"/>
      </w:pPr>
      <w:r>
        <w:rPr>
          <w:rFonts w:ascii="Arial" w:cs="Arial" w:eastAsia="Arial" w:hAnsi="Arial"/>
          <w:b w:val="false"/>
          <w:bCs w:val="false"/>
          <w:sz w:val="24"/>
          <w:szCs w:val="24"/>
        </w:rPr>
        <w:t xml:space="preserve">This analysis will be further enhanced through the Power BI dashboard — enabling real-time filtering, scenario modeling, and executive-level reporting for the investment committee.</w:t>
      </w:r>
    </w:p>
    <w:p>
      <w:pPr>
        <w:spacing w:after="200" w:before="400"/>
      </w:pPr>
      <w:r>
        <w:t xml:space="preserve"/>
      </w:r>
    </w:p>
    <w:p>
      <w:pPr>
        <w:pBdr>
          <w:top w:val="single" w:color="1F4E79" w:sz="6" w:space="1"/>
        </w:pBdr>
        <w:spacing w:after="120" w:before="200"/>
        <w:jc w:val="center"/>
      </w:pPr>
      <w:r>
        <w:rPr>
          <w:rFonts w:ascii="Arial" w:cs="Arial" w:eastAsia="Arial" w:hAnsi="Arial"/>
          <w:color w:val="888888"/>
          <w:sz w:val="20"/>
          <w:szCs w:val="20"/>
        </w:rPr>
        <w:t xml:space="preserve">Boston Housing Investment Analysis | 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2026-04-06T05:13:35.052Z</dcterms:created>
  <dcterms:modified xsi:type="dcterms:W3CDTF">2026-04-06T05:13:35.053Z</dcterms:modified>
</cp:coreProperties>
</file>

<file path=docProps/custom.xml><?xml version="1.0" encoding="utf-8"?>
<Properties xmlns="http://schemas.openxmlformats.org/officeDocument/2006/custom-properties" xmlns:vt="http://schemas.openxmlformats.org/officeDocument/2006/docPropsVTypes"/>
</file>