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 Cross-Dataset Validation-Split Correction for Fusion-Weight Bias in Multi-Stream Synthetic Media Detection</w:t>
      </w:r>
    </w:p>
    <w:p>
      <w:pPr>
        <w:spacing w:after="20" w:before="200"/>
        <w:jc w:val="center"/>
      </w:pPr>
      <w:r>
        <w:rPr>
          <w:rFonts w:ascii="Times New Roman" w:cs="Times New Roman" w:eastAsia="Times New Roman" w:hAnsi="Times New Roman"/>
          <w:sz w:val="22"/>
          <w:szCs w:val="22"/>
        </w:rPr>
        <w:t xml:space="preserve">Kaushik</w:t>
      </w:r>
    </w:p>
    <w:p>
      <w:pPr>
        <w:spacing w:after="260"/>
        <w:jc w:val="center"/>
      </w:pPr>
      <w:r>
        <w:rPr>
          <w:rFonts w:ascii="Times New Roman" w:cs="Times New Roman" w:eastAsia="Times New Roman" w:hAnsi="Times New Roman"/>
          <w:i/>
          <w:iCs/>
          <w:sz w:val="20"/>
          <w:szCs w:val="20"/>
        </w:rPr>
        <w:t xml:space="preserve">Independent Researcher</w:t>
      </w:r>
    </w:p>
    <w:p>
      <w:pPr>
        <w:spacing w:after="100" w:before="120"/>
        <w:jc w:val="center"/>
      </w:pPr>
      <w:r>
        <w:rPr>
          <w:rFonts w:ascii="Times New Roman" w:cs="Times New Roman" w:eastAsia="Times New Roman" w:hAnsi="Times New Roman"/>
          <w:b/>
          <w:bCs/>
          <w:i/>
          <w:iCs/>
          <w:sz w:val="20"/>
          <w:szCs w:val="20"/>
        </w:rPr>
        <w:t xml:space="preserve">Abstract</w:t>
      </w:r>
    </w:p>
    <w:p>
      <w:pPr>
        <w:spacing w:after="100"/>
        <w:ind w:left="400" w:right="400"/>
        <w:jc w:val="both"/>
      </w:pPr>
      <w:r>
        <w:rPr>
          <w:rFonts w:ascii="Times New Roman" w:cs="Times New Roman" w:eastAsia="Times New Roman" w:hAnsi="Times New Roman"/>
          <w:b/>
          <w:bCs/>
          <w:i/>
          <w:iCs/>
          <w:sz w:val="18"/>
          <w:szCs w:val="18"/>
        </w:rPr>
        <w:t xml:space="preserve">Multi-stream synthetic media detectors typically fuse independent detection signals, or "streams," using a weighted average, and it is common practice to set those weights from each stream's measured discrimination on the same split used to fit score calibration. We show that this practice is quietly wrong. A stream's in-distribution AUC on the calibration split does not predict how well it generalizes to a genuinely new dataset, and weighting fusion by that number can leave the combined detector worse off than its single best stream. The bias shows up independently in two different modalities of a working detector: image and audio. We correct it without collecting any new data, by splitting the existing reporting corpus once, stratified by label, into a weight-validation half used only to derive fusion weights and a final reporting half touched exactly once, after weights are already fixed. On the image pipeline this turns an 86.4/13.6 weight split, derived from a calibration-split gap that does not hold cross-dataset, into a validated 62.4/37.6 split that actually tracks what the two streams measure on held-out data; on the audio pipeline it cuts the fusion-induced AUC penalty from -0.0294 (measured on an early, smaller run) to -0.0240 on our largest run to date, still a net cost but a smaller and, more importantly, an honestly-derived one. Because an observed gap between two streams on a few hundred samples could plausibly be noise, we also built a paired bootstrap significance test and a weight-stability bootstrap to check it — and the tests earned their place in the pipeline by catching our own mistake: an n=500 image run reported the spatial-versus-frequency gap as not statistically significant (p = 0.278), and re-running at n=2000 flipped that verdict to significant (p ≈ 0.0000), showing the smaller result was underpowered rather than evidence of no real difference. The audio streams' gap was significant at every sample size we tried. Every number reported here comes from a cross-dataset protocol enforced in the evaluation code itself, not asserted in the text.</w:t>
      </w:r>
    </w:p>
    <w:p>
      <w:pPr>
        <w:spacing w:after="260"/>
        <w:ind w:left="400" w:right="40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deepfake detection, synthetic media forensics, multi-modal fusion, cross-dataset evaluation, model calibration, audio anti-spoofing, bootstrap significance testing, fusion-weight bias.</w:t>
      </w:r>
    </w:p>
    <w:p>
      <w:pPr>
        <w:sectPr>
          <w:type w:val="continuous"/>
          <w:pgSz w:w="12240" w:h="15840" w:orient="portrait"/>
          <w:pgMar w:top="1080" w:right="1080" w:bottom="1080" w:left="1080" w:header="708" w:footer="708" w:gutter="0"/>
          <w:pgNumType/>
          <w:docGrid w:linePitch="360"/>
        </w:sectPr>
      </w:pPr>
    </w:p>
    <w:p>
      <w:pPr>
        <w:keepNext/>
        <w:spacing w:after="120" w:before="240"/>
        <w:jc w:val="center"/>
      </w:pPr>
      <w:r>
        <w:rPr>
          <w:rFonts w:ascii="Times New Roman" w:cs="Times New Roman" w:eastAsia="Times New Roman" w:hAnsi="Times New Roman"/>
          <w:b/>
          <w:bCs/>
          <w:sz w:val="20"/>
          <w:szCs w:val="20"/>
        </w:rPr>
        <w:t xml:space="preserve">I. INTRODUCTION</w:t>
      </w:r>
    </w:p>
    <w:p>
      <w:pPr>
        <w:spacing w:after="0"/>
        <w:ind w:firstLine="200"/>
        <w:jc w:val="both"/>
      </w:pPr>
      <w:r>
        <w:rPr>
          <w:rFonts w:ascii="Times New Roman" w:cs="Times New Roman" w:eastAsia="Times New Roman" w:hAnsi="Times New Roman"/>
          <w:sz w:val="20"/>
          <w:szCs w:val="20"/>
        </w:rPr>
        <w:t xml:space="preserve">A detector trained to spot one generation of synthetic media is not the same thing as a detector that keeps working once a new generator ships. That gap between what a model was tuned against and what it will actually see is the reason a high in-distribution accuracy figure answers a narrower question than most readers assume it does. It says how well the model recognizes the specific artifacts of its own training or calibration data. It says very little about next month.</w:t>
      </w:r>
    </w:p>
    <w:p>
      <w:pPr>
        <w:spacing w:after="0"/>
        <w:ind w:firstLine="200"/>
        <w:jc w:val="both"/>
      </w:pPr>
      <w:r>
        <w:rPr>
          <w:rFonts w:ascii="Times New Roman" w:cs="Times New Roman" w:eastAsia="Times New Roman" w:hAnsi="Times New Roman"/>
          <w:sz w:val="20"/>
          <w:szCs w:val="20"/>
        </w:rPr>
        <w:t xml:space="preserve">There is a second design question in multi-stream detectors that gets far less scrutiny than raw accuracy does: how the individual streams should be combined into one score. A natural approach, and the one we started with, sets each stream's fusion weight from its measured AUC on a calibration split — the same split ordinarily used to fit score calibration such as temperature scaling [9]. It turns out this is a mistake, and not a subtle one once you see the numbers. Calibration-split AUC is a biased predictor of a stream's real cross-dataset contribution. Weighting fusion by it can make a combined score worse than its best individual stream, which is close to the opposite of the point of fusing streams at all.</w:t>
      </w:r>
    </w:p>
    <w:p>
      <w:pPr>
        <w:spacing w:after="0"/>
        <w:ind w:firstLine="200"/>
        <w:jc w:val="both"/>
      </w:pPr>
      <w:r>
        <w:rPr>
          <w:rFonts w:ascii="Times New Roman" w:cs="Times New Roman" w:eastAsia="Times New Roman" w:hAnsi="Times New Roman"/>
          <w:sz w:val="20"/>
          <w:szCs w:val="20"/>
        </w:rPr>
        <w:t xml:space="preserve">This paper makes four contributions. We identify and measure the bias in a deployed multi-stream detector, independently, across two modalities. We introduce a fix that needs no new data: one stratified split of the existing reporting corpus into a weight-validation half and a final reporting half. We build two statistical checks — a paired bootstrap significance test and a weight-stability bootstrap — to ask whether an observed gap between streams, and the weight derived from it, are real or sampling noise. And we report what the fix actually changed in both modalities, including the part it did not fully fix.</w:t>
      </w:r>
    </w:p>
    <w:p>
      <w:pPr>
        <w:keepNext/>
        <w:spacing w:after="120" w:before="240"/>
        <w:jc w:val="center"/>
      </w:pPr>
      <w:r>
        <w:rPr>
          <w:rFonts w:ascii="Times New Roman" w:cs="Times New Roman" w:eastAsia="Times New Roman" w:hAnsi="Times New Roman"/>
          <w:b/>
          <w:bCs/>
          <w:sz w:val="20"/>
          <w:szCs w:val="20"/>
        </w:rPr>
        <w:t xml:space="preserve">II. RELATED WORK</w:t>
      </w:r>
    </w:p>
    <w:p>
      <w:pPr>
        <w:spacing w:after="0"/>
        <w:ind w:firstLine="200"/>
        <w:jc w:val="both"/>
      </w:pPr>
      <w:r>
        <w:rPr>
          <w:rFonts w:ascii="Times New Roman" w:cs="Times New Roman" w:eastAsia="Times New Roman" w:hAnsi="Times New Roman"/>
          <w:sz w:val="20"/>
          <w:szCs w:val="20"/>
        </w:rPr>
        <w:t xml:space="preserve">The image spatial stream evaluated here is a Vision Transformer [4]. DF40 [5] is representative of the kind of broad, multi-technique benchmark our reporting corpus draws on, and its existence reflects a field-wide recognition that testing against one generator overstates real performance. On the audio side, the ASVspoof challenge series [2], [3] supplied both the standard corpora and the cross-dataset protocol we reuse, and AASIST [1] is the graph-attention architecture behind the audio pipeline's primary stream. Guo et al. [9] showed that modern networks are systematically overconfident and that temperature scaling fixes this without touching ranking quality; we use that method for calibration, but the finding in this paper is that a nearby, easily confused step — deriving fusion weights — needs a separate correction of its own. The Coalition for Content Provenance and Authenticity [8] standardizes a different kind of evidence entirely, cryptographic rather than statistical, and sits outside the fusion-weight question this paper is about. Efron's bootstrap [10] is the basis for every confidence interval and both significance tests reported below.</w:t>
      </w:r>
    </w:p>
    <w:p>
      <w:pPr>
        <w:keepNext/>
        <w:spacing w:after="120" w:before="240"/>
        <w:jc w:val="center"/>
      </w:pPr>
      <w:r>
        <w:rPr>
          <w:rFonts w:ascii="Times New Roman" w:cs="Times New Roman" w:eastAsia="Times New Roman" w:hAnsi="Times New Roman"/>
          <w:b/>
          <w:bCs/>
          <w:sz w:val="20"/>
          <w:szCs w:val="20"/>
        </w:rPr>
        <w:t xml:space="preserve">III. SYSTEM ARCHITECTURE</w:t>
      </w:r>
    </w:p>
    <w:p>
      <w:pPr>
        <w:spacing w:after="0"/>
        <w:ind w:firstLine="200"/>
        <w:jc w:val="both"/>
      </w:pPr>
      <w:r>
        <w:rPr>
          <w:rFonts w:ascii="Times New Roman" w:cs="Times New Roman" w:eastAsia="Times New Roman" w:hAnsi="Times New Roman"/>
          <w:sz w:val="20"/>
          <w:szCs w:val="20"/>
        </w:rPr>
        <w:t xml:space="preserve">The system under study detects synthetic media across two independently evaluated modalities, image/video and audio. Each pairs an architecturally distinct learned classifier with a hand-derived signal-processing stream, and the image pipeline adds a non-statistical provenance stream on top. Table I lists each stream and how it currently participates in fusion.</w:t>
      </w:r>
    </w:p>
    <w:p>
      <w:pPr>
        <w:spacing w:after="160" w:before="60"/>
        <w:jc w:val="center"/>
      </w:pPr>
      <w:r>
        <w:rPr>
          <w:rFonts w:ascii="Times New Roman" w:cs="Times New Roman" w:eastAsia="Times New Roman" w:hAnsi="Times New Roman"/>
          <w:sz w:val="18"/>
          <w:szCs w:val="18"/>
        </w:rPr>
        <w:t xml:space="preserve">TABLE I</w:t>
      </w:r>
    </w:p>
    <w:p>
      <w:pPr>
        <w:spacing w:after="160" w:before="60"/>
        <w:jc w:val="center"/>
      </w:pPr>
      <w:r>
        <w:rPr>
          <w:rFonts w:ascii="Times New Roman" w:cs="Times New Roman" w:eastAsia="Times New Roman" w:hAnsi="Times New Roman"/>
          <w:sz w:val="18"/>
          <w:szCs w:val="18"/>
        </w:rPr>
        <w:t xml:space="preserve">DETECTION STREAMS BY MODALITY</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150"/>
      </w:tblGrid>
      <w:tr>
        <w:trPr>
          <w:tblHeader/>
        </w:trPr>
        <w:tc>
          <w:tcPr>
            <w:tcW w:type="dxa" w:w="9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Stream</w:t>
            </w:r>
          </w:p>
        </w:tc>
        <w:tc>
          <w:tcPr>
            <w:tcW w:type="dxa" w:w="5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Modality</w:t>
            </w:r>
          </w:p>
        </w:tc>
        <w:tc>
          <w:tcPr>
            <w:tcW w:type="dxa" w:w="21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Signal</w:t>
            </w:r>
          </w:p>
        </w:tc>
        <w:tc>
          <w:tcPr>
            <w:tcW w:type="dxa" w:w="11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Fusion status</w:t>
            </w:r>
          </w:p>
        </w:tc>
      </w:tr>
      <w:tr>
        <w:tc>
          <w:tcPr>
            <w:tcW w:type="dxa" w:w="9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Spatial (ViT [4])</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Image</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Fine-tuned Vision Transformer classifier</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Weighted, measured</w:t>
            </w:r>
          </w:p>
        </w:tc>
      </w:tr>
      <w:tr>
        <w:tc>
          <w:tcPr>
            <w:tcW w:type="dxa" w:w="9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Frequency (DCT)</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Image</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Frequency-domain generator-artifact statistics</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Weighted, measured</w:t>
            </w:r>
          </w:p>
        </w:tc>
      </w:tr>
      <w:tr>
        <w:tc>
          <w:tcPr>
            <w:tcW w:type="dxa" w:w="9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Provenance (C2PA [8])</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Image</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Cryptographic content-credential verification</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Override path, not averaged</w:t>
            </w:r>
          </w:p>
        </w:tc>
      </w:tr>
      <w:tr>
        <w:tc>
          <w:tcPr>
            <w:tcW w:type="dxa" w:w="9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Biological (rPPG)</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Video</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Remote photoplethysmography, blink rate</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Reported as evidence, weight = 0</w:t>
            </w:r>
          </w:p>
        </w:tc>
      </w:tr>
      <w:tr>
        <w:tc>
          <w:tcPr>
            <w:tcW w:type="dxa" w:w="9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 (AASIST [1])</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Audio</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Spectro-temporal graph attention anti-spoofing</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Weighted, measured</w:t>
            </w:r>
          </w:p>
        </w:tc>
      </w:tr>
      <w:tr>
        <w:tc>
          <w:tcPr>
            <w:tcW w:type="dxa" w:w="9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Audio-frequency (HNR)</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Audio</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Harmonics-to-noise ratio via autocorrelation</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Weighted, measured</w:t>
            </w:r>
          </w:p>
        </w:tc>
      </w:tr>
    </w:tbl>
    <w:p>
      <w:pPr>
        <w:spacing w:after="0"/>
        <w:ind w:firstLine="200"/>
        <w:jc w:val="both"/>
      </w:pPr>
      <w:r>
        <w:rPr>
          <w:rFonts w:ascii="Times New Roman" w:cs="Times New Roman" w:eastAsia="Times New Roman" w:hAnsi="Times New Roman"/>
          <w:sz w:val="20"/>
          <w:szCs w:val="20"/>
        </w:rPr>
        <w:t xml:space="preserve">Weighted streams are combined by a normalized weighted average. Each stream's weight is proportional to its measured lift over chance, AUC minus 0.5, floored at zero so a below-chance stream cannot end up with a sign-inverted weight. A stream that measures at or below chance simply gets zero weight, as a direct consequence of the arithmetic rather than a judgment call. Provenance metadata is handled outside this average altogether, since a cryptographic signature is a different kind of evidence than a statistical score: it floors or clamps the fused result instead, because its presence is meaningful while its absence proves nothing.</w:t>
      </w:r>
    </w:p>
    <w:p>
      <w:pPr>
        <w:spacing w:after="0"/>
        <w:ind w:firstLine="200"/>
        <w:jc w:val="both"/>
      </w:pPr>
      <w:r>
        <w:rPr>
          <w:rFonts w:ascii="Times New Roman" w:cs="Times New Roman" w:eastAsia="Times New Roman" w:hAnsi="Times New Roman"/>
          <w:sz w:val="20"/>
          <w:szCs w:val="20"/>
        </w:rPr>
        <w:t xml:space="preserve">Everything in the rest of this paper concerns one specific step in that pipeline — which data a stream's AUC, and therefore its weight, gets computed from.</w:t>
      </w:r>
    </w:p>
    <w:p>
      <w:pPr>
        <w:keepNext/>
        <w:spacing w:after="120" w:before="240"/>
        <w:jc w:val="center"/>
      </w:pPr>
      <w:r>
        <w:rPr>
          <w:rFonts w:ascii="Times New Roman" w:cs="Times New Roman" w:eastAsia="Times New Roman" w:hAnsi="Times New Roman"/>
          <w:b/>
          <w:bCs/>
          <w:sz w:val="20"/>
          <w:szCs w:val="20"/>
        </w:rPr>
        <w:t xml:space="preserve">IV. METHODOLOGY</w:t>
      </w:r>
    </w:p>
    <w:p>
      <w:pPr>
        <w:keepNext/>
        <w:spacing w:after="80" w:before="160"/>
      </w:pPr>
      <w:r>
        <w:rPr>
          <w:rFonts w:ascii="Times New Roman" w:cs="Times New Roman" w:eastAsia="Times New Roman" w:hAnsi="Times New Roman"/>
          <w:b/>
          <w:bCs/>
          <w:i/>
          <w:iCs/>
          <w:sz w:val="20"/>
          <w:szCs w:val="20"/>
        </w:rPr>
        <w:t xml:space="preserve">A. Mandatory Cross-Dataset Evaluation Protocol</w:t>
      </w:r>
    </w:p>
    <w:p>
      <w:pPr>
        <w:spacing w:after="0"/>
        <w:ind w:firstLine="200"/>
        <w:jc w:val="both"/>
      </w:pPr>
      <w:r>
        <w:rPr>
          <w:rFonts w:ascii="Times New Roman" w:cs="Times New Roman" w:eastAsia="Times New Roman" w:hAnsi="Times New Roman"/>
          <w:sz w:val="20"/>
          <w:szCs w:val="20"/>
        </w:rPr>
        <w:t xml:space="preserve">Score calibration is fitted on a calibration corpus. Every headline metric, by contrast, is measured on a disjoint reporting corpus that shares no samples with it; the evaluation harness rejects a configuration where the two corpora are identical as invalid rather than leaving that guarantee to convention. In-distribution figures, measured on the calibration corpus itself, are still reported for contrast, but they never stand in as the system's headline claim.</w:t>
      </w:r>
    </w:p>
    <w:p>
      <w:pPr>
        <w:keepNext/>
        <w:spacing w:after="80" w:before="160"/>
      </w:pPr>
      <w:r>
        <w:rPr>
          <w:rFonts w:ascii="Times New Roman" w:cs="Times New Roman" w:eastAsia="Times New Roman" w:hAnsi="Times New Roman"/>
          <w:b/>
          <w:bCs/>
          <w:i/>
          <w:iCs/>
          <w:sz w:val="20"/>
          <w:szCs w:val="20"/>
        </w:rPr>
        <w:t xml:space="preserve">B. The Bias: Calibration-Split AUC as a Fusion-Weight Predictor</w:t>
      </w:r>
    </w:p>
    <w:p>
      <w:pPr>
        <w:spacing w:after="0"/>
        <w:ind w:firstLine="200"/>
        <w:jc w:val="both"/>
      </w:pPr>
      <w:r>
        <w:rPr>
          <w:rFonts w:ascii="Times New Roman" w:cs="Times New Roman" w:eastAsia="Times New Roman" w:hAnsi="Times New Roman"/>
          <w:sz w:val="20"/>
          <w:szCs w:val="20"/>
        </w:rPr>
        <w:t xml:space="preserve">Our original implementation derived each stream's fusion weight from its AUC on the calibration corpus — in the audio case, the same corpus the primary classifier had already been trained on — which is also what temperature scaling is fitted against. That in-distribution AUC, we found, systematically diverges from the stream's AUC on a genuinely held-out reporting corpus, and in our measurements it is a misleading predictor of it. The practical consequence is that a fused score can end up generalizing worse than its single best stream, because the weighting procedure rewards whichever stream happens to fit the calibration corpus's particular quirks, and that is not necessarily the stream that holds up outside it.</w:t>
      </w:r>
    </w:p>
    <w:p>
      <w:pPr>
        <w:spacing w:after="0"/>
        <w:ind w:firstLine="200"/>
        <w:jc w:val="both"/>
      </w:pPr>
      <w:r>
        <w:rPr>
          <w:rFonts w:ascii="Times New Roman" w:cs="Times New Roman" w:eastAsia="Times New Roman" w:hAnsi="Times New Roman"/>
          <w:sz w:val="20"/>
          <w:szCs w:val="20"/>
        </w:rPr>
        <w:t xml:space="preserve">We saw this pattern independently in two modalities. In the image pipeline, the frequency stream measured 0.713 AUC on the calibration corpus against the spatial stream's 0.534, and so received 86.4% of the fusion weight under the original procedure. On the held-out reporting corpus, though, it was the spatial stream that generalized better, meaning the more heavily weighted stream was the one that transferred worse. The audio pipeline showed the same shape of problem: a hand-derived harmonics-to-noise-ratio stream measured 0.907 AUC in-distribution but only in the 0.65-0.77 range cross-dataset across the runs reported in Section VI, and fusing it in at its calibration-derived weight of 44.85% dragged the fused score's cross-dataset AUC down from what the primary classifier alone achieved.</w:t>
      </w:r>
    </w:p>
    <w:p>
      <w:pPr>
        <w:keepNext/>
        <w:spacing w:after="80" w:before="160"/>
      </w:pPr>
      <w:r>
        <w:rPr>
          <w:rFonts w:ascii="Times New Roman" w:cs="Times New Roman" w:eastAsia="Times New Roman" w:hAnsi="Times New Roman"/>
          <w:b/>
          <w:bCs/>
          <w:i/>
          <w:iCs/>
          <w:sz w:val="20"/>
          <w:szCs w:val="20"/>
        </w:rPr>
        <w:t xml:space="preserve">C. Correction: A Stratified Weight-Validation Split</w:t>
      </w:r>
    </w:p>
    <w:p>
      <w:pPr>
        <w:spacing w:after="0"/>
        <w:ind w:firstLine="200"/>
        <w:jc w:val="both"/>
      </w:pPr>
      <w:r>
        <w:rPr>
          <w:rFonts w:ascii="Times New Roman" w:cs="Times New Roman" w:eastAsia="Times New Roman" w:hAnsi="Times New Roman"/>
          <w:sz w:val="20"/>
          <w:szCs w:val="20"/>
        </w:rPr>
        <w:t xml:space="preserve">The strictest version of a fix here uses three disjoint corpora, one apiece for calibration, weight selection, and final reporting. That was not available to us. Locating even a second commercially licensed, reporting-quality corpus per modality proved difficult in practice, and several candidates were evaluated and rejected rather than adopted along the way — model weights restricted to non-commercial use, an AGPL-licensed component, a dataset with no locatable license terms at all.</w:t>
      </w:r>
    </w:p>
    <w:p>
      <w:pPr>
        <w:spacing w:after="0"/>
        <w:ind w:firstLine="200"/>
        <w:jc w:val="both"/>
      </w:pPr>
      <w:r>
        <w:rPr>
          <w:rFonts w:ascii="Times New Roman" w:cs="Times New Roman" w:eastAsia="Times New Roman" w:hAnsi="Times New Roman"/>
          <w:sz w:val="20"/>
          <w:szCs w:val="20"/>
        </w:rPr>
        <w:t xml:space="preserve">So we get the same held-out guarantee a different way, using only the corpora already on hand: split the reporting corpus once, stratified by label so class balance holds in both halves, into a weight-validation half and a final reporting half. The validation half gives a genuine cross-dataset measurement relative to calibration and is used only to derive fusion weights; the final half is touched exactly once, after weights are already fixed, to compute every headline metric. No new data collection is required, and the split is implemented as a single shared module applied identically across both modalities' evaluation harnesses.</w:t>
      </w:r>
    </w:p>
    <w:p>
      <w:pPr>
        <w:keepNext/>
        <w:spacing w:after="120" w:before="240"/>
        <w:jc w:val="center"/>
      </w:pPr>
      <w:r>
        <w:rPr>
          <w:rFonts w:ascii="Times New Roman" w:cs="Times New Roman" w:eastAsia="Times New Roman" w:hAnsi="Times New Roman"/>
          <w:b/>
          <w:bCs/>
          <w:sz w:val="20"/>
          <w:szCs w:val="20"/>
        </w:rPr>
        <w:t xml:space="preserve">V. EXPERIMENTAL SETUP</w:t>
      </w:r>
    </w:p>
    <w:p>
      <w:pPr>
        <w:spacing w:after="0"/>
        <w:ind w:firstLine="200"/>
        <w:jc w:val="both"/>
      </w:pPr>
      <w:r>
        <w:rPr>
          <w:rFonts w:ascii="Times New Roman" w:cs="Times New Roman" w:eastAsia="Times New Roman" w:hAnsi="Times New Roman"/>
          <w:sz w:val="20"/>
          <w:szCs w:val="20"/>
        </w:rPr>
        <w:t xml:space="preserve">Table II summarizes the corpora and sample sizes behind the results in Section VI. All corpora are licensed for commercial use and are streamed at evaluation time rather than redistributed. Throughout, we report AUC with a 500-iteration percentile bootstrap 95% confidence interval, Equal Error Rate (EER), and Expected Calibration Error (ECE).</w:t>
      </w:r>
    </w:p>
    <w:p>
      <w:pPr>
        <w:spacing w:after="160" w:before="60"/>
        <w:jc w:val="center"/>
      </w:pPr>
      <w:r>
        <w:rPr>
          <w:rFonts w:ascii="Times New Roman" w:cs="Times New Roman" w:eastAsia="Times New Roman" w:hAnsi="Times New Roman"/>
          <w:sz w:val="18"/>
          <w:szCs w:val="18"/>
        </w:rPr>
        <w:t xml:space="preserve">TABLE II</w:t>
      </w:r>
    </w:p>
    <w:p>
      <w:pPr>
        <w:spacing w:after="160" w:before="60"/>
        <w:jc w:val="center"/>
      </w:pPr>
      <w:r>
        <w:rPr>
          <w:rFonts w:ascii="Times New Roman" w:cs="Times New Roman" w:eastAsia="Times New Roman" w:hAnsi="Times New Roman"/>
          <w:sz w:val="18"/>
          <w:szCs w:val="18"/>
        </w:rPr>
        <w:t xml:space="preserve">EVALUATION CORPORA AND SAMPLE SIZES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50"/>
        <w:gridCol w:w="2100"/>
        <w:gridCol w:w="1650"/>
      </w:tblGrid>
      <w:tr>
        <w:trPr>
          <w:tblHeader/>
        </w:trPr>
        <w:tc>
          <w:tcPr>
            <w:tcW w:type="dxa" w:w="9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Modality</w:t>
            </w:r>
          </w:p>
        </w:tc>
        <w:tc>
          <w:tcPr>
            <w:tcW w:type="dxa" w:w="21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Calibration corpus (n)</w:t>
            </w:r>
          </w:p>
        </w:tc>
        <w:tc>
          <w:tcPr>
            <w:tcW w:type="dxa" w:w="16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Reporting pool → validation / final (n)</w:t>
            </w:r>
          </w:p>
        </w:tc>
      </w:tr>
      <w:tr>
        <w:tc>
          <w:tcPr>
            <w:tcW w:type="dxa" w:w="95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Image</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OpenRL/DeepFakeFace (2000)</w:t>
            </w:r>
          </w:p>
        </w:tc>
        <w:tc>
          <w:tcPr>
            <w:tcW w:type="dxa" w:w="16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2000 → 1000 / 1000</w:t>
            </w:r>
          </w:p>
        </w:tc>
      </w:tr>
      <w:tr>
        <w:tc>
          <w:tcPr>
            <w:tcW w:type="dxa" w:w="95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ASVspoof2019 LA [3] (400)</w:t>
            </w:r>
          </w:p>
        </w:tc>
        <w:tc>
          <w:tcPr>
            <w:tcW w:type="dxa" w:w="16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400 → 200 / 200</w:t>
            </w:r>
          </w:p>
        </w:tc>
      </w:tr>
    </w:tbl>
    <w:p>
      <w:pPr>
        <w:spacing w:after="0"/>
        <w:ind w:firstLine="200"/>
        <w:jc w:val="both"/>
      </w:pPr>
      <w:r>
        <w:rPr>
          <w:rFonts w:ascii="Times New Roman" w:cs="Times New Roman" w:eastAsia="Times New Roman" w:hAnsi="Times New Roman"/>
          <w:sz w:val="20"/>
          <w:szCs w:val="20"/>
        </w:rPr>
        <w:t xml:space="preserve">The image reporting pool is drawn from a DF40-derived [5] benchmark spanning 40 distinct manipulation techniques, held out entirely from calibration. The audio reporting pool is ASVspoof2021 DF [2], which introduces attack algorithms and transmission and codec conditions that are absent from the ASVspoof2019 calibration corpus.</w:t>
      </w:r>
    </w:p>
    <w:p>
      <w:pPr>
        <w:keepNext/>
        <w:spacing w:after="120" w:before="240"/>
        <w:jc w:val="center"/>
      </w:pPr>
      <w:r>
        <w:rPr>
          <w:rFonts w:ascii="Times New Roman" w:cs="Times New Roman" w:eastAsia="Times New Roman" w:hAnsi="Times New Roman"/>
          <w:b/>
          <w:bCs/>
          <w:sz w:val="20"/>
          <w:szCs w:val="20"/>
        </w:rPr>
        <w:t xml:space="preserve">VI. RESULTS</w:t>
      </w:r>
    </w:p>
    <w:p>
      <w:pPr>
        <w:spacing w:after="0"/>
        <w:ind w:firstLine="200"/>
        <w:jc w:val="both"/>
      </w:pPr>
      <w:r>
        <w:rPr>
          <w:rFonts w:ascii="Times New Roman" w:cs="Times New Roman" w:eastAsia="Times New Roman" w:hAnsi="Times New Roman"/>
          <w:sz w:val="20"/>
          <w:szCs w:val="20"/>
        </w:rPr>
        <w:t xml:space="preserve">Table III reports the measured effect of switching fusion-weight derivation from calibration-split AUC to validation-split AUC. The "old" rows are historical: they come from the original, smaller-scale run that first demonstrated the bug, before the fix existed and before either harness was re-run at the larger sizes in Table II. The "new" rows come from the current, larger-scale corpora and sample sizes.</w:t>
      </w:r>
    </w:p>
    <w:p>
      <w:pPr>
        <w:spacing w:after="160" w:before="60"/>
        <w:jc w:val="center"/>
      </w:pPr>
      <w:r>
        <w:rPr>
          <w:rFonts w:ascii="Times New Roman" w:cs="Times New Roman" w:eastAsia="Times New Roman" w:hAnsi="Times New Roman"/>
          <w:sz w:val="18"/>
          <w:szCs w:val="18"/>
        </w:rPr>
        <w:t xml:space="preserve">TABLE III</w:t>
      </w:r>
    </w:p>
    <w:p>
      <w:pPr>
        <w:spacing w:after="160" w:before="60"/>
        <w:jc w:val="center"/>
      </w:pPr>
      <w:r>
        <w:rPr>
          <w:rFonts w:ascii="Times New Roman" w:cs="Times New Roman" w:eastAsia="Times New Roman" w:hAnsi="Times New Roman"/>
          <w:sz w:val="18"/>
          <w:szCs w:val="18"/>
        </w:rPr>
        <w:t xml:space="preserve">FUSION-WEIGHT CORRECTION, MEASURED EFFECT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700"/>
        <w:gridCol w:w="1480"/>
        <w:gridCol w:w="1220"/>
        <w:gridCol w:w="1300"/>
      </w:tblGrid>
      <w:tr>
        <w:trPr>
          <w:tblHeader/>
        </w:trPr>
        <w:tc>
          <w:tcPr>
            <w:tcW w:type="dxa" w:w="7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Modality</w:t>
            </w:r>
          </w:p>
        </w:tc>
        <w:tc>
          <w:tcPr>
            <w:tcW w:type="dxa" w:w="148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Weight source</w:t>
            </w:r>
          </w:p>
        </w:tc>
        <w:tc>
          <w:tcPr>
            <w:tcW w:type="dxa" w:w="122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Weight split</w:t>
            </w:r>
          </w:p>
        </w:tc>
        <w:tc>
          <w:tcPr>
            <w:tcW w:type="dxa" w:w="13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Fused-vs-best-alone AUC Δ</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w:t>
            </w:r>
          </w:p>
        </w:tc>
        <w:tc>
          <w:tcPr>
            <w:tcW w:type="dxa" w:w="148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Calibration split (old, historical)</w:t>
            </w:r>
          </w:p>
        </w:tc>
        <w:tc>
          <w:tcPr>
            <w:tcW w:type="dxa" w:w="122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55.2% / 44.9%</w:t>
            </w:r>
          </w:p>
        </w:tc>
        <w:tc>
          <w:tcPr>
            <w:tcW w:type="dxa" w:w="13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−0.0294</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w:t>
            </w:r>
          </w:p>
        </w:tc>
        <w:tc>
          <w:tcPr>
            <w:tcW w:type="dxa" w:w="148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Validation split (new, n=400)</w:t>
            </w:r>
          </w:p>
        </w:tc>
        <w:tc>
          <w:tcPr>
            <w:tcW w:type="dxa" w:w="122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74.3% / 25.7%</w:t>
            </w:r>
          </w:p>
        </w:tc>
        <w:tc>
          <w:tcPr>
            <w:tcW w:type="dxa" w:w="13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−0.0240</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Image</w:t>
            </w:r>
          </w:p>
        </w:tc>
        <w:tc>
          <w:tcPr>
            <w:tcW w:type="dxa" w:w="148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Calibration split (old, historical)</w:t>
            </w:r>
          </w:p>
        </w:tc>
        <w:tc>
          <w:tcPr>
            <w:tcW w:type="dxa" w:w="122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13.6% / 86.4%</w:t>
            </w:r>
          </w:p>
        </w:tc>
        <w:tc>
          <w:tcPr>
            <w:tcW w:type="dxa" w:w="13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 (see Table IV)</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Image</w:t>
            </w:r>
          </w:p>
        </w:tc>
        <w:tc>
          <w:tcPr>
            <w:tcW w:type="dxa" w:w="148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Validation split (new, n=2000)</w:t>
            </w:r>
          </w:p>
        </w:tc>
        <w:tc>
          <w:tcPr>
            <w:tcW w:type="dxa" w:w="122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62.4% / 37.6%</w:t>
            </w:r>
          </w:p>
        </w:tc>
        <w:tc>
          <w:tcPr>
            <w:tcW w:type="dxa" w:w="13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 (see Table IV)</w:t>
            </w:r>
          </w:p>
        </w:tc>
      </w:tr>
    </w:tbl>
    <w:p>
      <w:pPr>
        <w:spacing w:after="0"/>
        <w:ind w:firstLine="200"/>
        <w:jc w:val="both"/>
      </w:pPr>
      <w:r>
        <w:rPr>
          <w:rFonts w:ascii="Times New Roman" w:cs="Times New Roman" w:eastAsia="Times New Roman" w:hAnsi="Times New Roman"/>
          <w:sz w:val="20"/>
          <w:szCs w:val="20"/>
        </w:rPr>
        <w:t xml:space="preserve">For audio, correcting the weight source reduced the fusion-induced AUC degradation from −0.0294 to −0.0240 at our largest sample size to date — a smaller cost than the uncorrected method's, though not eliminated, and not directly comparable in magnitude to the −0.0064 an earlier, smaller validation-split run reported, since that number came from a different, much smaller sample. The honest summary is that the correction consistently reduces the degradation relative to the old method; the exact residual amount is itself subject to sampling variance, which is precisely what Section VII quantifies. For images, the corrected weights (62.4% spatial, 37.6% frequency) track the two streams' genuine cross-dataset validation AUCs directly — spatial measured 0.663 against frequency's 0.598, a real gap rather than the near-tie an earlier, smaller run suggested. That replaces a lopsided split which, it turns out, reflected nothing more than an in-distribution artifact.</w:t>
      </w:r>
    </w:p>
    <w:p>
      <w:pPr>
        <w:spacing w:after="0"/>
        <w:ind w:firstLine="200"/>
        <w:jc w:val="both"/>
      </w:pPr>
      <w:r>
        <w:rPr>
          <w:rFonts w:ascii="Times New Roman" w:cs="Times New Roman" w:eastAsia="Times New Roman" w:hAnsi="Times New Roman"/>
          <w:sz w:val="20"/>
          <w:szCs w:val="20"/>
        </w:rPr>
        <w:t xml:space="preserve">Table IV reports the final held-out AUC for each stream on its own, measured on the final reporting half that weight selection never touched.</w:t>
      </w:r>
    </w:p>
    <w:p>
      <w:pPr>
        <w:spacing w:after="160" w:before="60"/>
        <w:jc w:val="center"/>
      </w:pPr>
      <w:r>
        <w:rPr>
          <w:rFonts w:ascii="Times New Roman" w:cs="Times New Roman" w:eastAsia="Times New Roman" w:hAnsi="Times New Roman"/>
          <w:sz w:val="18"/>
          <w:szCs w:val="18"/>
        </w:rPr>
        <w:t xml:space="preserve">TABLE IV</w:t>
      </w:r>
    </w:p>
    <w:p>
      <w:pPr>
        <w:spacing w:after="160" w:before="60"/>
        <w:jc w:val="center"/>
      </w:pPr>
      <w:r>
        <w:rPr>
          <w:rFonts w:ascii="Times New Roman" w:cs="Times New Roman" w:eastAsia="Times New Roman" w:hAnsi="Times New Roman"/>
          <w:sz w:val="18"/>
          <w:szCs w:val="18"/>
        </w:rPr>
        <w:t xml:space="preserve">FINAL HELD-OUT STREAM PERFORMANCE</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900"/>
      </w:tblGrid>
      <w:tr>
        <w:trPr>
          <w:tblHeader/>
        </w:trPr>
        <w:tc>
          <w:tcPr>
            <w:tcW w:type="dxa" w:w="14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Stream</w:t>
            </w:r>
          </w:p>
        </w:tc>
        <w:tc>
          <w:tcPr>
            <w:tcW w:type="dxa" w:w="8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AUC</w:t>
            </w:r>
          </w:p>
        </w:tc>
        <w:tc>
          <w:tcPr>
            <w:tcW w:type="dxa" w:w="16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95% CI</w:t>
            </w:r>
          </w:p>
        </w:tc>
        <w:tc>
          <w:tcPr>
            <w:tcW w:type="dxa" w:w="9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EER</w:t>
            </w:r>
          </w:p>
        </w:tc>
      </w:tr>
      <w:tr>
        <w:tc>
          <w:tcPr>
            <w:tcW w:type="dxa" w:w="14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Spatial (image)</w:t>
            </w:r>
          </w:p>
        </w:tc>
        <w:tc>
          <w:tcPr>
            <w:tcW w:type="dxa" w:w="8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0.6641</w:t>
            </w:r>
          </w:p>
        </w:tc>
        <w:tc>
          <w:tcPr>
            <w:tcW w:type="dxa" w:w="16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[0.6324, 0.6979]</w:t>
            </w:r>
          </w:p>
        </w:tc>
        <w:tc>
          <w:tcPr>
            <w:tcW w:type="dxa" w:w="9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0.385</w:t>
            </w:r>
          </w:p>
        </w:tc>
      </w:tr>
      <w:tr>
        <w:tc>
          <w:tcPr>
            <w:tcW w:type="dxa" w:w="14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Frequency (image)</w:t>
            </w:r>
          </w:p>
        </w:tc>
        <w:tc>
          <w:tcPr>
            <w:tcW w:type="dxa" w:w="8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0.5752</w:t>
            </w:r>
          </w:p>
        </w:tc>
        <w:tc>
          <w:tcPr>
            <w:tcW w:type="dxa" w:w="16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[0.5433, 0.6117]</w:t>
            </w:r>
          </w:p>
        </w:tc>
        <w:tc>
          <w:tcPr>
            <w:tcW w:type="dxa" w:w="9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0.442</w:t>
            </w:r>
          </w:p>
        </w:tc>
      </w:tr>
      <w:tr>
        <w:tc>
          <w:tcPr>
            <w:tcW w:type="dxa" w:w="14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 (AASIST)</w:t>
            </w:r>
          </w:p>
        </w:tc>
        <w:tc>
          <w:tcPr>
            <w:tcW w:type="dxa" w:w="8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0.9798</w:t>
            </w:r>
          </w:p>
        </w:tc>
        <w:tc>
          <w:tcPr>
            <w:tcW w:type="dxa" w:w="16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[0.9646, 0.9921]</w:t>
            </w:r>
          </w:p>
        </w:tc>
        <w:tc>
          <w:tcPr>
            <w:tcW w:type="dxa" w:w="9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0.075</w:t>
            </w:r>
          </w:p>
        </w:tc>
      </w:tr>
      <w:tr>
        <w:tc>
          <w:tcPr>
            <w:tcW w:type="dxa" w:w="14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Audio-frequency (HNR)</w:t>
            </w:r>
          </w:p>
        </w:tc>
        <w:tc>
          <w:tcPr>
            <w:tcW w:type="dxa" w:w="8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0.7709</w:t>
            </w:r>
          </w:p>
        </w:tc>
        <w:tc>
          <w:tcPr>
            <w:tcW w:type="dxa" w:w="16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[0.7076, 0.8322]</w:t>
            </w:r>
          </w:p>
        </w:tc>
        <w:tc>
          <w:tcPr>
            <w:tcW w:type="dxa" w:w="9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0.300</w:t>
            </w:r>
          </w:p>
        </w:tc>
      </w:tr>
    </w:tbl>
    <w:p>
      <w:pPr>
        <w:keepNext/>
        <w:spacing w:after="120" w:before="240"/>
        <w:jc w:val="center"/>
      </w:pPr>
      <w:r>
        <w:rPr>
          <w:rFonts w:ascii="Times New Roman" w:cs="Times New Roman" w:eastAsia="Times New Roman" w:hAnsi="Times New Roman"/>
          <w:b/>
          <w:bCs/>
          <w:sz w:val="20"/>
          <w:szCs w:val="20"/>
        </w:rPr>
        <w:t xml:space="preserve">VII. STATISTICAL VALIDATION</w:t>
      </w:r>
    </w:p>
    <w:p>
      <w:pPr>
        <w:spacing w:after="0"/>
        <w:ind w:firstLine="200"/>
        <w:jc w:val="both"/>
      </w:pPr>
      <w:r>
        <w:rPr>
          <w:rFonts w:ascii="Times New Roman" w:cs="Times New Roman" w:eastAsia="Times New Roman" w:hAnsi="Times New Roman"/>
          <w:sz w:val="20"/>
          <w:szCs w:val="20"/>
        </w:rPr>
        <w:t xml:space="preserve">Section VI's point estimates leave two questions open. Is a measured gap between two streams' AUCs a real, reproducible difference, or noise? And is a derived fusion-weight split a stable property of the streams, or an artifact of one particular validation draw? We built a paired bootstrap significance test for the first question and a weight-stability bootstrap for the second.</w:t>
      </w:r>
    </w:p>
    <w:p>
      <w:pPr>
        <w:keepNext/>
        <w:spacing w:after="80" w:before="160"/>
      </w:pPr>
      <w:r>
        <w:rPr>
          <w:rFonts w:ascii="Times New Roman" w:cs="Times New Roman" w:eastAsia="Times New Roman" w:hAnsi="Times New Roman"/>
          <w:b/>
          <w:bCs/>
          <w:i/>
          <w:iCs/>
          <w:sz w:val="20"/>
          <w:szCs w:val="20"/>
        </w:rPr>
        <w:t xml:space="preserve">A. Paired Bootstrap Significance Test</w:t>
      </w:r>
    </w:p>
    <w:p>
      <w:pPr>
        <w:spacing w:after="0"/>
        <w:ind w:firstLine="200"/>
        <w:jc w:val="both"/>
      </w:pPr>
      <w:r>
        <w:rPr>
          <w:rFonts w:ascii="Times New Roman" w:cs="Times New Roman" w:eastAsia="Times New Roman" w:hAnsi="Times New Roman"/>
          <w:sz w:val="20"/>
          <w:szCs w:val="20"/>
        </w:rPr>
        <w:t xml:space="preserve">For each modality's two weighted streams, we resample the final held-out split with replacement 2000 times, applying the same resampled indices to both streams on each iteration — since both were scored on the same clips, their errors are correlated, and comparing two independent confidence intervals would not be statistically appropriate here. We compute the AUC difference on every resample, take the 95% percentile interval of that distribution, and derive a two-sided p-value from the fraction of resamples that land on the opposite side of zero from the observed difference.</w:t>
      </w:r>
    </w:p>
    <w:p>
      <w:pPr>
        <w:spacing w:after="160" w:before="60"/>
        <w:jc w:val="center"/>
      </w:pPr>
      <w:r>
        <w:rPr>
          <w:rFonts w:ascii="Times New Roman" w:cs="Times New Roman" w:eastAsia="Times New Roman" w:hAnsi="Times New Roman"/>
          <w:sz w:val="18"/>
          <w:szCs w:val="18"/>
        </w:rPr>
        <w:t xml:space="preserve">TABLE V</w:t>
      </w:r>
    </w:p>
    <w:p>
      <w:pPr>
        <w:spacing w:after="160" w:before="60"/>
        <w:jc w:val="center"/>
      </w:pPr>
      <w:r>
        <w:rPr>
          <w:rFonts w:ascii="Times New Roman" w:cs="Times New Roman" w:eastAsia="Times New Roman" w:hAnsi="Times New Roman"/>
          <w:sz w:val="18"/>
          <w:szCs w:val="18"/>
        </w:rPr>
        <w:t xml:space="preserve">PAIRED SIGNIFICANCE TEST, FINAL SPLIT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750"/>
        <w:gridCol w:w="1150"/>
        <w:gridCol w:w="550"/>
        <w:gridCol w:w="950"/>
      </w:tblGrid>
      <w:tr>
        <w:trPr>
          <w:tblHeader/>
        </w:trPr>
        <w:tc>
          <w:tcPr>
            <w:tcW w:type="dxa" w:w="13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Pair</w:t>
            </w:r>
          </w:p>
        </w:tc>
        <w:tc>
          <w:tcPr>
            <w:tcW w:type="dxa" w:w="7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Δ AUC</w:t>
            </w:r>
          </w:p>
        </w:tc>
        <w:tc>
          <w:tcPr>
            <w:tcW w:type="dxa" w:w="11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95% CI</w:t>
            </w:r>
          </w:p>
        </w:tc>
        <w:tc>
          <w:tcPr>
            <w:tcW w:type="dxa" w:w="5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w:t>
            </w:r>
          </w:p>
        </w:tc>
        <w:tc>
          <w:tcPr>
            <w:tcW w:type="dxa" w:w="9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Significant?</w:t>
            </w:r>
          </w:p>
        </w:tc>
      </w:tr>
      <w:tr>
        <w:tc>
          <w:tcPr>
            <w:tcW w:type="dxa" w:w="13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Spatial − Frequency (n=1000)</w:t>
            </w:r>
          </w:p>
        </w:tc>
        <w:tc>
          <w:tcPr>
            <w:tcW w:type="dxa" w:w="7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+0.0889</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[0.040, 0.137]</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0.0000</w:t>
            </w:r>
          </w:p>
        </w:tc>
        <w:tc>
          <w:tcPr>
            <w:tcW w:type="dxa" w:w="9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Yes</w:t>
            </w:r>
          </w:p>
        </w:tc>
      </w:tr>
      <w:tr>
        <w:tc>
          <w:tcPr>
            <w:tcW w:type="dxa" w:w="130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 − Audio-freq. (n=200)</w:t>
            </w:r>
          </w:p>
        </w:tc>
        <w:tc>
          <w:tcPr>
            <w:tcW w:type="dxa" w:w="7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+0.2089</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[0.149, 0.274]</w:t>
            </w:r>
          </w:p>
        </w:tc>
        <w:tc>
          <w:tcPr>
            <w:tcW w:type="dxa" w:w="5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≈0.000</w:t>
            </w:r>
          </w:p>
        </w:tc>
        <w:tc>
          <w:tcPr>
            <w:tcW w:type="dxa" w:w="9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Yes</w:t>
            </w:r>
          </w:p>
        </w:tc>
      </w:tr>
    </w:tbl>
    <w:p>
      <w:pPr>
        <w:spacing w:after="0"/>
        <w:ind w:firstLine="200"/>
        <w:jc w:val="both"/>
      </w:pPr>
      <w:r>
        <w:rPr>
          <w:rFonts w:ascii="Times New Roman" w:cs="Times New Roman" w:eastAsia="Times New Roman" w:hAnsi="Times New Roman"/>
          <w:sz w:val="20"/>
          <w:szCs w:val="20"/>
        </w:rPr>
        <w:t xml:space="preserve">Both modalities now show a significant gap at their current sample sizes, but the more informative result is what changed to get here: an earlier run of this exact same image comparison, at n=500 (250 per final split) rather than the n=2000 (1000 per final split) used above, measured a similar-sized numeric gap (0.0518 AUC) and reported it as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significant — 95% CI [−0.041, 0.154], which included zero. Re-running at four times the sample size did not change which stream was ahead; it changed whether the test had enough statistical power to say so with confidence. That is the paired bootstrap doing exactly its job: distinguishing "no detectable difference at this sample size" from "no real difference," and correctly declining to claim the latter when only the former was true. The audio streams' gap, by contrast, was significant at every sample size we tested, from n=60 up to the n=200 reported here — a much larger effect size relative to its own sampling noise. Read a "not significant" result as a statement about the sample, not a proof of equivalence, and treat a flip like the one above as evidence the test is working rather than as an inconsistency between runs.</w:t>
      </w:r>
    </w:p>
    <w:p>
      <w:pPr>
        <w:keepNext/>
        <w:spacing w:after="80" w:before="160"/>
      </w:pPr>
      <w:r>
        <w:rPr>
          <w:rFonts w:ascii="Times New Roman" w:cs="Times New Roman" w:eastAsia="Times New Roman" w:hAnsi="Times New Roman"/>
          <w:b/>
          <w:bCs/>
          <w:i/>
          <w:iCs/>
          <w:sz w:val="20"/>
          <w:szCs w:val="20"/>
        </w:rPr>
        <w:t xml:space="preserve">B. Weight-Stability Bootstrap</w:t>
      </w:r>
    </w:p>
    <w:p>
      <w:pPr>
        <w:spacing w:after="0"/>
        <w:ind w:firstLine="200"/>
        <w:jc w:val="both"/>
      </w:pPr>
      <w:r>
        <w:rPr>
          <w:rFonts w:ascii="Times New Roman" w:cs="Times New Roman" w:eastAsia="Times New Roman" w:hAnsi="Times New Roman"/>
          <w:sz w:val="20"/>
          <w:szCs w:val="20"/>
        </w:rPr>
        <w:t xml:space="preserve">There is a related question: is the fusion weight derived in Section IV-C a stable property of the two streams, or a lucky draw from one particular validation sample? We resample the weight-validation split 500 times and, on each resample, rederive fusion weights from scratch using the identical procedure the production harness uses. That produces a distribution of 500 plausible weight splits per modality, and we report the median along with the 10th–90th percentile (p10–p90) range.</w:t>
      </w:r>
    </w:p>
    <w:p>
      <w:pPr>
        <w:spacing w:after="160" w:before="60"/>
        <w:jc w:val="center"/>
      </w:pPr>
      <w:r>
        <w:rPr>
          <w:rFonts w:ascii="Times New Roman" w:cs="Times New Roman" w:eastAsia="Times New Roman" w:hAnsi="Times New Roman"/>
          <w:sz w:val="18"/>
          <w:szCs w:val="18"/>
        </w:rPr>
        <w:t xml:space="preserve">TABLE VI</w:t>
      </w:r>
    </w:p>
    <w:p>
      <w:pPr>
        <w:spacing w:after="160" w:before="60"/>
        <w:jc w:val="center"/>
      </w:pPr>
      <w:r>
        <w:rPr>
          <w:rFonts w:ascii="Times New Roman" w:cs="Times New Roman" w:eastAsia="Times New Roman" w:hAnsi="Times New Roman"/>
          <w:sz w:val="18"/>
          <w:szCs w:val="18"/>
        </w:rPr>
        <w:t xml:space="preserve">WEIGHT-STABILITY BOOTSTRAP (500 RESAMPLES)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2100"/>
      </w:tblGrid>
      <w:tr>
        <w:trPr>
          <w:tblHeader/>
        </w:trPr>
        <w:tc>
          <w:tcPr>
            <w:tcW w:type="dxa" w:w="14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Stream</w:t>
            </w:r>
          </w:p>
        </w:tc>
        <w:tc>
          <w:tcPr>
            <w:tcW w:type="dxa" w:w="115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Median weight</w:t>
            </w:r>
          </w:p>
        </w:tc>
        <w:tc>
          <w:tcPr>
            <w:tcW w:type="dxa" w:w="2100"/>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p10–p90</w:t>
            </w:r>
          </w:p>
        </w:tc>
      </w:tr>
      <w:tr>
        <w:tc>
          <w:tcPr>
            <w:tcW w:type="dxa" w:w="145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Spatial</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0.623</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0.556 – 0.686</w:t>
            </w:r>
          </w:p>
        </w:tc>
      </w:tr>
      <w:tr>
        <w:tc>
          <w:tcPr>
            <w:tcW w:type="dxa" w:w="145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Frequency</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0.377</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0.314 – 0.444</w:t>
            </w:r>
          </w:p>
        </w:tc>
      </w:tr>
      <w:tr>
        <w:tc>
          <w:tcPr>
            <w:tcW w:type="dxa" w:w="145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0.741</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0.694 – 0.804</w:t>
            </w:r>
          </w:p>
        </w:tc>
      </w:tr>
      <w:tr>
        <w:tc>
          <w:tcPr>
            <w:tcW w:type="dxa" w:w="1450"/>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Audio-frequency</w:t>
            </w:r>
          </w:p>
        </w:tc>
        <w:tc>
          <w:tcPr>
            <w:tcW w:type="dxa" w:w="115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0.259</w:t>
            </w:r>
          </w:p>
        </w:tc>
        <w:tc>
          <w:tcPr>
            <w:tcW w:type="dxa" w:w="2100"/>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0.196 – 0.306</w:t>
            </w:r>
          </w:p>
        </w:tc>
      </w:tr>
    </w:tbl>
    <w:p>
      <w:pPr>
        <w:spacing w:after="0"/>
        <w:ind w:firstLine="200"/>
        <w:jc w:val="both"/>
      </w:pPr>
      <w:r>
        <w:rPr>
          <w:rFonts w:ascii="Times New Roman" w:cs="Times New Roman" w:eastAsia="Times New Roman" w:hAnsi="Times New Roman"/>
          <w:sz w:val="20"/>
          <w:szCs w:val="20"/>
        </w:rPr>
        <w:t xml:space="preserve">At the current, larger sample sizes, both modalities' weight ranges are non-overlapping — spatial's 0.556–0.686 sits clearly above frequency's 0.314–0.444, and audio's 0.694–0.804 sits clearly above audio-frequency's 0.196–0.306 — agreeing with the significance-test verdicts in Table V for both pairs. This is itself a change from an earlier, smaller image run, where the two streams' weight ranges (0.420–0.784 and 0.216–0.580) overlapped substantially; the same sample-size effect that flipped the significance verdict above also tightened these ranges enough to stop overlapping. Two independently constructed statistical procedures moving together as sample size changes is a reason to trust that both are measuring something real about the underlying streams, not an artifact of either procedure's particular construction.</w:t>
      </w:r>
    </w:p>
    <w:p>
      <w:pPr>
        <w:spacing w:after="0"/>
        <w:ind w:firstLine="200"/>
        <w:jc w:val="both"/>
      </w:pPr>
      <w:r>
        <w:rPr>
          <w:rFonts w:ascii="Times New Roman" w:cs="Times New Roman" w:eastAsia="Times New Roman" w:hAnsi="Times New Roman"/>
          <w:sz w:val="20"/>
          <w:szCs w:val="20"/>
        </w:rPr>
        <w:t xml:space="preserve">We deliberately did not implement this weight-stability bootstrap as a re-run of the full evaluation harness at a different random seed. A fresh seed would also change which clips get successfully retrieved and scored in the first place — network failures during streamed corpus access, a different draw order — and that would conflate an unrelated noise source with the one this procedure is meant to isolate: sampling variance among clips that were already successfully scored.</w:t>
      </w:r>
    </w:p>
    <w:p>
      <w:pPr>
        <w:keepNext/>
        <w:spacing w:after="120" w:before="240"/>
        <w:jc w:val="center"/>
      </w:pPr>
      <w:r>
        <w:rPr>
          <w:rFonts w:ascii="Times New Roman" w:cs="Times New Roman" w:eastAsia="Times New Roman" w:hAnsi="Times New Roman"/>
          <w:b/>
          <w:bCs/>
          <w:sz w:val="20"/>
          <w:szCs w:val="20"/>
        </w:rPr>
        <w:t xml:space="preserve">VIII. DISCUSSION</w:t>
      </w:r>
    </w:p>
    <w:p>
      <w:pPr>
        <w:spacing w:after="0"/>
        <w:ind w:firstLine="200"/>
        <w:jc w:val="both"/>
      </w:pPr>
      <w:r>
        <w:rPr>
          <w:rFonts w:ascii="Times New Roman" w:cs="Times New Roman" w:eastAsia="Times New Roman" w:hAnsi="Times New Roman"/>
          <w:sz w:val="20"/>
          <w:szCs w:val="20"/>
        </w:rPr>
        <w:t xml:space="preserve">This finding held up across two stream pairs that share neither architecture nor modality — a Vision Transformer against a hand-derived DCT statistic on one side, a graph-attention audio network against a hand-derived autocorrelation statistic on the other — which suggests the underlying mechanism is general rather than tied to either detector. Any multi-stream detection system that derives fusion weights from a metric measured on the same split used for score calibration is structurally exposed to the same bias, regardless of which specific streams it uses, because the failure lives in the measurement procedure and not in any individual model.</w:t>
      </w:r>
    </w:p>
    <w:p>
      <w:pPr>
        <w:spacing w:after="0"/>
        <w:ind w:firstLine="200"/>
        <w:jc w:val="both"/>
      </w:pPr>
      <w:r>
        <w:rPr>
          <w:rFonts w:ascii="Times New Roman" w:cs="Times New Roman" w:eastAsia="Times New Roman" w:hAnsi="Times New Roman"/>
          <w:sz w:val="20"/>
          <w:szCs w:val="20"/>
        </w:rPr>
        <w:t xml:space="preserve">The correction we propose trades some reporting-corpus sample size (it is halved, to create the validation split) for a substantially more defensible weight-derivation procedure, and needs no new data collection to do it. Where a genuinely independent third corpus is available, that remains the methodologically better choice; the stratified-split correction is offered as a practical alternative for when it is not.</w:t>
      </w:r>
    </w:p>
    <w:p>
      <w:pPr>
        <w:keepNext/>
        <w:spacing w:after="120" w:before="240"/>
        <w:jc w:val="center"/>
      </w:pPr>
      <w:r>
        <w:rPr>
          <w:rFonts w:ascii="Times New Roman" w:cs="Times New Roman" w:eastAsia="Times New Roman" w:hAnsi="Times New Roman"/>
          <w:b/>
          <w:bCs/>
          <w:sz w:val="20"/>
          <w:szCs w:val="20"/>
        </w:rPr>
        <w:t xml:space="preserve">IX. LIMITATIONS</w:t>
      </w:r>
    </w:p>
    <w:p>
      <w:pPr>
        <w:spacing w:after="0"/>
        <w:ind w:firstLine="200"/>
        <w:jc w:val="both"/>
      </w:pPr>
      <w:r>
        <w:rPr>
          <w:rFonts w:ascii="Times New Roman" w:cs="Times New Roman" w:eastAsia="Times New Roman" w:hAnsi="Times New Roman"/>
          <w:sz w:val="20"/>
          <w:szCs w:val="20"/>
        </w:rPr>
        <w:t xml:space="preserve">The final reporting splits used here (n = 1000 images, n = 200 audio clips) are larger than an earlier pass through this same pipeline (n = 250 images, n = 60 audio clips) precisely because that smaller pass turned out to be underpowered for the image comparison, as Section VII-A describes — but they remain modest relative to large-scale benchmark evaluations, a direct consequence of evaluating against rate-limited, streamed public corpora rather than a locally cached copy. Every reported AUC carries its bootstrap confidence interval precisely so this limitation stays visible rather than implied. Both reporting corpora also cover a narrow slice of real-world conditions — a fixed set of manipulation techniques, and for audio, studio-adjacent text-to-speech and voice-conversion attacks rather than the full range of generators and transmission conditions media actually arrives in. The corrected fusion-weight procedure removes the specific in-distribution bias identified in Section IV-B; it does not, and we are not claiming it does, guarantee generalization to manipulation techniques or generators absent from both corpora entirely. Finally, this work reports the effect of one specific correction on one specific system. Further replication on additional multi-stream detectors would strengthen the generality claim made in Section VIII.</w:t>
      </w:r>
    </w:p>
    <w:p>
      <w:pPr>
        <w:keepNext/>
        <w:spacing w:after="120" w:before="240"/>
        <w:jc w:val="center"/>
      </w:pPr>
      <w:r>
        <w:rPr>
          <w:rFonts w:ascii="Times New Roman" w:cs="Times New Roman" w:eastAsia="Times New Roman" w:hAnsi="Times New Roman"/>
          <w:b/>
          <w:bCs/>
          <w:sz w:val="20"/>
          <w:szCs w:val="20"/>
        </w:rPr>
        <w:t xml:space="preserve">X. CONCLUSION</w:t>
      </w:r>
    </w:p>
    <w:p>
      <w:pPr>
        <w:spacing w:after="0"/>
        <w:ind w:firstLine="200"/>
        <w:jc w:val="both"/>
      </w:pPr>
      <w:r>
        <w:rPr>
          <w:rFonts w:ascii="Times New Roman" w:cs="Times New Roman" w:eastAsia="Times New Roman" w:hAnsi="Times New Roman"/>
          <w:sz w:val="20"/>
          <w:szCs w:val="20"/>
        </w:rPr>
        <w:t xml:space="preserve">We identified and quantified a systematic bias in a common multi-stream detector design practice — deriving fusion weights from in-distribution calibration-split AUC — and confirmed it independently across two modalities of a deployed synthetic media detection system. A stratified validation-split correction, requiring no additional data, reduced fusion-induced cross-dataset AUC degradation in the audio pipeline and, in the image pipeline, corrected a lopsided, misleading weight split into one that matches genuine cross-dataset stream performance. Two complementary statistical tools, a paired bootstrap significance test and a weight-stability bootstrap we built for this purpose, did more than confirm our headline numbers: re-running the image comparison at a larger sample size flipped its significance verdict from not-significant to significant, and the tools correctly reported both states rather than forcing a predetermined answer at either sample size. We recommend that multi-stream detection systems deriving fusion weights from measured stream performance verify that the measurement comes from a genuinely held-out split, distinct from whatever split is used for score calibration — and that any significance claim about a gap between streams be re-checked as more data becomes available, rather than treated as settled from a single run.</w:t>
      </w:r>
    </w:p>
    <w:p>
      <w:pPr>
        <w:spacing w:after="120" w:before="240"/>
        <w:jc w:val="center"/>
      </w:pPr>
      <w:r>
        <w:rPr>
          <w:rFonts w:ascii="Times New Roman" w:cs="Times New Roman" w:eastAsia="Times New Roman" w:hAnsi="Times New Roman"/>
          <w:b/>
          <w:bCs/>
          <w:sz w:val="20"/>
          <w:szCs w:val="20"/>
        </w:rPr>
        <w:t xml:space="preserve">REFERENCES</w:t>
      </w:r>
    </w:p>
    <w:p>
      <w:pPr>
        <w:spacing w:after="40"/>
        <w:ind w:left="260" w:hanging="260"/>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J. W. Jung, H. S. Heo, H. Tak, H. J. Shim, J. S. Chung, B. J. Lee, H. J. Yu, and N. Evans, "AASIST: Audio anti-spoofing using integrated spectro-temporal graph attention networks," in Proc. IEEE ICASSP, 2022, arXiv:2110.01200.</w:t>
      </w:r>
    </w:p>
    <w:p>
      <w:pPr>
        <w:spacing w:after="40"/>
        <w:ind w:left="260" w:hanging="260"/>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H. Delgado et al., "ASVspoof 2021: Towards spoofed and deepfake speech detection in the wild," arXiv:2210.02437, 2022.</w:t>
      </w:r>
    </w:p>
    <w:p>
      <w:pPr>
        <w:spacing w:after="40"/>
        <w:ind w:left="260" w:hanging="260"/>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X. Wang et al., "ASVspoof 2019: A large-scale public database of synthesized, converted and replayed speech," Computer Speech &amp; Language, vol. 64, p. 101114, 2020.</w:t>
      </w:r>
    </w:p>
    <w:p>
      <w:pPr>
        <w:spacing w:after="40"/>
        <w:ind w:left="260" w:hanging="26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Dosovitskiy et al., "An image is worth 16x16 words: Transformers for image recognition at scale," arXiv:2010.11929, 2020.</w:t>
      </w:r>
    </w:p>
    <w:p>
      <w:pPr>
        <w:spacing w:after="40"/>
        <w:ind w:left="260" w:hanging="260"/>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Z. Yan et al., "DF40: Toward next-generation deepfake detection," in Proc. NeurIPS, Datasets and Benchmarks Track, 2024, arXiv:2406.13495.</w:t>
      </w:r>
    </w:p>
    <w:p>
      <w:pPr>
        <w:spacing w:after="40"/>
        <w:ind w:left="260" w:hanging="260"/>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C. Lugaresi et al., "MediaPipe: A framework for building perception pipelines," arXiv:1906.08172, 2019.</w:t>
      </w:r>
    </w:p>
    <w:p>
      <w:pPr>
        <w:spacing w:after="40"/>
        <w:ind w:left="260" w:hanging="260"/>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R. R. Selvaraju, M. Cogswell, A. Das, R. Vedantam, D. Parikh, and D. Batra, "Grad-CAM: Visual explanations from deep networks via gradient-based localization," in Proc. IEEE ICCV, 2017, pp. 618-626.</w:t>
      </w:r>
    </w:p>
    <w:p>
      <w:pPr>
        <w:spacing w:after="40"/>
        <w:ind w:left="260" w:hanging="260"/>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Coalition for Content Provenance and Authenticity (C2PA), "C2PA Technical Specification." [Online]. Available: https://spec.c2pa.org/</w:t>
      </w:r>
    </w:p>
    <w:p>
      <w:pPr>
        <w:spacing w:after="40"/>
        <w:ind w:left="260" w:hanging="260"/>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C. Guo, G. Pleiss, Y. Sun, and K. Q. Weinberger, "On calibration of modern neural networks," in Proc. ICML, 2017, pp. 1321-1330.</w:t>
      </w:r>
    </w:p>
    <w:p>
      <w:pPr>
        <w:spacing w:after="40"/>
        <w:ind w:left="260" w:hanging="260"/>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B. Efron, "Bootstrap methods: Another look at the jackknife," The Annals of Statistics, vol. 7, no. 1, pp. 1-26, 1979.</w:t>
      </w:r>
    </w:p>
    <w:sectPr>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2026-09-08T02:49:33.696Z</dcterms:created>
  <dcterms:modified xsi:type="dcterms:W3CDTF">2026-09-08T02:49:33.697Z</dcterms:modified>
</cp:coreProperties>
</file>

<file path=docProps/custom.xml><?xml version="1.0" encoding="utf-8"?>
<Properties xmlns="http://schemas.openxmlformats.org/officeDocument/2006/custom-properties" xmlns:vt="http://schemas.openxmlformats.org/officeDocument/2006/docPropsVTypes"/>
</file>