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sz w:val="56"/>
          <w:szCs w:val="56"/>
        </w:rPr>
        <w:t xml:space="preserve">Understanding VeriFrame</w:t>
      </w:r>
    </w:p>
    <w:p>
      <w:pPr>
        <w:spacing w:after="800"/>
        <w:jc w:val="center"/>
      </w:pPr>
      <w:r>
        <w:rPr>
          <w:i/>
          <w:iCs/>
          <w:sz w:val="28"/>
          <w:szCs w:val="28"/>
        </w:rPr>
        <w:t xml:space="preserve">A Learning Guide to the Concepts Behind a Multi-Stream Synthetic-Media Detection System</w:t>
      </w:r>
    </w:p>
    <w:p>
      <w:pPr>
        <w:spacing w:after="2400"/>
        <w:jc w:val="center"/>
      </w:pPr>
      <w:r>
        <w:rPr>
          <w:sz w:val="22"/>
          <w:szCs w:val="22"/>
        </w:rPr>
        <w:t xml:space="preserve">Written to accompany the VeriFrame project and its research paper draft, for a reader with no prior background in machine learning, signal processing, or statistics.</w:t>
      </w:r>
    </w:p>
    <w:p>
      <w:pPr>
        <w:jc w:val="center"/>
      </w:pPr>
      <w:r>
        <w:rPr>
          <w:sz w:val="24"/>
          <w:szCs w:val="24"/>
        </w:rPr>
        <w:t xml:space="preserve">Kaushik</w:t>
      </w:r>
    </w:p>
    <w:p>
      <w:pPr>
        <w:jc w:val="center"/>
      </w:pPr>
      <w:r>
        <w:rPr>
          <w:sz w:val="22"/>
          <w:szCs w:val="22"/>
        </w:rPr>
        <w:t xml:space="preserve">2026</w:t>
      </w:r>
    </w:p>
    <w:p>
      <w:r>
        <w:br w:type="page"/>
      </w:r>
    </w:p>
    <w:p>
      <w:pPr>
        <w:pStyle w:val="Heading1"/>
        <w:spacing w:after="200" w:before="400"/>
      </w:pPr>
      <w:r>
        <w:t xml:space="preserve">Preface: How to Use This Document</w:t>
      </w:r>
    </w:p>
    <w:p>
      <w:pPr>
        <w:spacing w:after="160"/>
        <w:jc w:val="both"/>
      </w:pPr>
      <w:r>
        <w:t xml:space="preserve">This document exists for one reason: you built something real — a working, evaluated, honestly-reported synthetic-media detection system — and you want to understand it well enough to write about it, defend it in a viva or peer review, and explain it to someone who has never heard of any of this. It is not a textbook substitute, and it will not make you an expert in machine learning or digital signal processing. What it will do is explain, from first principles, every concept that VeriFrame actually uses, in the order you need them, so that when you read your own project's code, </w:t>
      </w:r>
      <w:r>
        <w:rPr>
          <w:rFonts w:ascii="Consolas" w:cs="Consolas" w:eastAsia="Consolas" w:hAnsi="Consolas"/>
          <w:sz w:val="20"/>
          <w:szCs w:val="20"/>
        </w:rPr>
        <w:t xml:space="preserve">DECISIONS.md</w:t>
      </w:r>
      <w:r>
        <w:t xml:space="preserve">, or the accompanying IEEE-format paper draft, nothing in it is a black box to you.</w:t>
      </w:r>
    </w:p>
    <w:p>
      <w:pPr>
        <w:spacing w:after="160"/>
        <w:jc w:val="both"/>
      </w:pPr>
      <w:r>
        <w:t xml:space="preserve">Each section follows the same shape: </w:t>
      </w:r>
      <w:r>
        <w:rPr>
          <w:b/>
          <w:bCs/>
        </w:rPr>
        <w:t xml:space="preserve">what the idea is</w:t>
      </w:r>
      <w:r>
        <w:t xml:space="preserve">, </w:t>
      </w:r>
      <w:r>
        <w:rPr>
          <w:b/>
          <w:bCs/>
        </w:rPr>
        <w:t xml:space="preserve">why it exists</w:t>
      </w:r>
      <w:r>
        <w:t xml:space="preserve"> (what problem it solves), and </w:t>
      </w:r>
      <w:r>
        <w:rPr>
          <w:b/>
          <w:bCs/>
        </w:rPr>
        <w:t xml:space="preserve">how VeriFrame specifically uses it</w:t>
      </w:r>
      <w:r>
        <w:t xml:space="preserve">. Wherever possible the explanation is grounded in a concrete number from your own project rather than an abstract example, because a number you can point to in your own evaluation report is far easier to hold onto than a generic textbook illustration.</w:t>
      </w:r>
    </w:p>
    <w:p>
      <w:pPr>
        <w:spacing w:after="160"/>
        <w:jc w:val="both"/>
      </w:pPr>
      <w:r>
        <w:t xml:space="preserve">A note on honesty, because it matters for how you should read everything that follows: VeriFrame does not claim state-of-the-art accuracy, and neither should you when you write about it. Its real, defensible contribution is methodological — a genuine, reproducible finding about *how fusion weights should be derived* in a multi-stream detector, confirmed independently in two different modalities (images and audio). Part III of this guide explains exactly what that finding is and why it is worth a paper on its own, without needing to also claim the underlying detectors are better than anyone else's.</w:t>
      </w:r>
    </w:p>
    <w:p>
      <w:pPr>
        <w:spacing w:after="120"/>
      </w:pPr>
    </w:p>
    <w:p>
      <w:pPr>
        <w:pStyle w:val="Heading1"/>
        <w:spacing w:after="200" w:before="400"/>
      </w:pPr>
      <w:r>
        <w:t xml:space="preserve">Part I — Foundations</w:t>
      </w:r>
    </w:p>
    <w:p>
      <w:pPr>
        <w:pStyle w:val="Heading2"/>
        <w:spacing w:after="150" w:before="300"/>
      </w:pPr>
      <w:r>
        <w:t xml:space="preserve">1. What Is a Deepfake, and Why Is Detecting One Hard?</w:t>
      </w:r>
    </w:p>
    <w:p>
      <w:pPr>
        <w:spacing w:after="160"/>
        <w:jc w:val="both"/>
      </w:pPr>
      <w:r>
        <w:t xml:space="preserve">"Deepfake" is a portmanteau of "deep learning" and "fake" — media (an image, a video, or an audio clip) that has been generated or altered by a neural network to misrepresent what actually happened. The generation side of this problem has advanced extremely quickly: diffusion models can synthesize a photorealistic face from noise, face-swap models can paste one person's likeness onto another's body in video, and voice-cloning/text-to-speech models can produce audio that is very difficult for a human listener to distinguish from a real recording of a specific person.</w:t>
      </w:r>
    </w:p>
    <w:p>
      <w:pPr>
        <w:spacing w:after="160"/>
        <w:jc w:val="both"/>
      </w:pPr>
      <w:r>
        <w:t xml:space="preserve">Detecting this synthetic media is hard for a structural reason, not just a technical one: </w:t>
      </w:r>
      <w:r>
        <w:rPr>
          <w:b/>
          <w:bCs/>
        </w:rPr>
        <w:t xml:space="preserve">detection is always one step behind generation</w:t>
      </w:r>
      <w:r>
        <w:t xml:space="preserve">. A detector is trained on examples of the generators that existed when the training data was collected. A new generator released the following month produces artifacts the detector has never seen, and there is no way to train on data that does not yet exist. This is why VeriFrame's single most important design decision — described throughout this guide — is to never claim a number measured on one generator will hold for a generator it has not seen, and to measure that gap explicitly rather than hope it is small.</w:t>
      </w:r>
    </w:p>
    <w:p>
      <w:pPr>
        <w:spacing w:after="160"/>
        <w:jc w:val="both"/>
      </w:pPr>
      <w:r>
        <w:t xml:space="preserve">This also explains why VeriFrame refuses to output a bare "FAKE" or "REAL" label. A single word implies a confidence the underlying science cannot honestly support. A calibrated probability with an uncertainty band is a more honest representation of what the system actually knows.</w:t>
      </w:r>
    </w:p>
    <w:p>
      <w:pPr>
        <w:pStyle w:val="Heading2"/>
        <w:spacing w:after="150" w:before="300"/>
      </w:pPr>
      <w:r>
        <w:t xml:space="preserve">2. Machine Learning in One Page</w:t>
      </w:r>
    </w:p>
    <w:p>
      <w:pPr>
        <w:spacing w:after="160"/>
        <w:jc w:val="both"/>
      </w:pPr>
      <w:r>
        <w:t xml:space="preserve">At its core, a machine learning </w:t>
      </w:r>
      <w:r>
        <w:rPr>
          <w:b/>
          <w:bCs/>
        </w:rPr>
        <w:t xml:space="preserve">classifier</w:t>
      </w:r>
      <w:r>
        <w:t xml:space="preserve"> is a function that takes an input (here: an image, a short video, or an audio clip, converted into numbers a computer can process) and outputs a number between 0 and 1 representing how strongly the input resembles one category versus another. VeriFrame's classifiers output a number that is meant to track "how much does this look like a synthetic/manipulated example, based on patterns learned from many labeled examples."</w:t>
      </w:r>
    </w:p>
    <w:p>
      <w:pPr>
        <w:spacing w:after="160"/>
        <w:jc w:val="both"/>
      </w:pPr>
      <w:r>
        <w:t xml:space="preserve">That number comes from </w:t>
      </w:r>
      <w:r>
        <w:rPr>
          <w:b/>
          <w:bCs/>
        </w:rPr>
        <w:t xml:space="preserve">training</w:t>
      </w:r>
      <w:r>
        <w:t xml:space="preserve">: showing the model many examples labeled "authentic" or "manipulated," and adjusting millions of internal numerical parameters (weights) so that the model's output gets closer to the correct label each time it is wrong, via an algorithm called gradient descent. VeriFrame does not train any classifier from scratch — every model it uses (the spatial classifier, the face detector, the audio anti-spoofing network) was already trained by someone else on a large dataset, and VeriFrame either uses it as-is (</w:t>
      </w:r>
      <w:r>
        <w:rPr>
          <w:b/>
          <w:bCs/>
        </w:rPr>
        <w:t xml:space="preserve">inference only</w:t>
      </w:r>
      <w:r>
        <w:t xml:space="preserve">) or, in the case of the spatial classifier, uses a version that was </w:t>
      </w:r>
      <w:r>
        <w:rPr>
          <w:b/>
          <w:bCs/>
        </w:rPr>
        <w:t xml:space="preserve">fine-tuned</w:t>
      </w:r>
      <w:r>
        <w:t xml:space="preserve">: taken from a model already trained on a huge, general dataset and further trained for a shorter time on a smaller, task-specific dataset, which is far cheaper than training from nothing and usually performs better.</w:t>
      </w:r>
    </w:p>
    <w:p>
      <w:pPr>
        <w:spacing w:after="160"/>
        <w:jc w:val="both"/>
      </w:pPr>
      <w:r>
        <w:t xml:space="preserve">A crucial distinction that recurs throughout this project: </w:t>
      </w:r>
      <w:r>
        <w:rPr>
          <w:b/>
          <w:bCs/>
        </w:rPr>
        <w:t xml:space="preserve">training</w:t>
      </w:r>
      <w:r>
        <w:t xml:space="preserve"> happens once, offline, using a fixed dataset. </w:t>
      </w:r>
      <w:r>
        <w:rPr>
          <w:b/>
          <w:bCs/>
        </w:rPr>
        <w:t xml:space="preserve">Inference</w:t>
      </w:r>
      <w:r>
        <w:t xml:space="preserve"> happens every time a user submits a file — the model's parameters are frozen and it just computes an output. VeriFrame's evaluation harness (discussed in Part III) does not train anything; it runs already-trained models over held-out data and measures how well their output numbers track the true labels.</w:t>
      </w:r>
    </w:p>
    <w:p>
      <w:pPr>
        <w:pStyle w:val="Heading2"/>
        <w:spacing w:after="150" w:before="300"/>
      </w:pPr>
      <w:r>
        <w:t xml:space="preserve">3. How Do You Know a Classifier Is Any Good? Confusion Matrices, ROC Curves, and AUC</w:t>
      </w:r>
    </w:p>
    <w:p>
      <w:pPr>
        <w:spacing w:after="160"/>
        <w:jc w:val="both"/>
      </w:pPr>
      <w:r>
        <w:t xml:space="preserve">Suppose a classifier scores 100 clips, half genuinely manipulated and half authentic, and you pick a threshold — say, "anything scoring above 0.5 counts as manipulated." Every clip now falls into one of four buckets:</w:t>
      </w:r>
    </w:p>
    <w:p>
      <w:pPr>
        <w:pStyle w:val="ListParagraph"/>
        <w:numPr>
          <w:ilvl w:val="0"/>
          <w:numId w:val="2"/>
        </w:numPr>
        <w:spacing w:after="80"/>
      </w:pPr>
      <w:r>
        <w:rPr>
          <w:b/>
          <w:bCs/>
        </w:rPr>
        <w:t xml:space="preserve">True positive (TP)</w:t>
      </w:r>
      <w:r>
        <w:t xml:space="preserve"> — actually manipulated, correctly flagged.</w:t>
      </w:r>
    </w:p>
    <w:p>
      <w:pPr>
        <w:pStyle w:val="ListParagraph"/>
        <w:numPr>
          <w:ilvl w:val="0"/>
          <w:numId w:val="2"/>
        </w:numPr>
        <w:spacing w:after="80"/>
      </w:pPr>
      <w:r>
        <w:rPr>
          <w:b/>
          <w:bCs/>
        </w:rPr>
        <w:t xml:space="preserve">False positive (FP)</w:t>
      </w:r>
      <w:r>
        <w:t xml:space="preserve"> — actually authentic, incorrectly flagged. This is the "wrongly accusing someone's real content" failure mode.</w:t>
      </w:r>
    </w:p>
    <w:p>
      <w:pPr>
        <w:pStyle w:val="ListParagraph"/>
        <w:numPr>
          <w:ilvl w:val="0"/>
          <w:numId w:val="2"/>
        </w:numPr>
        <w:spacing w:after="80"/>
      </w:pPr>
      <w:r>
        <w:rPr>
          <w:b/>
          <w:bCs/>
        </w:rPr>
        <w:t xml:space="preserve">True negative (TN)</w:t>
      </w:r>
      <w:r>
        <w:t xml:space="preserve"> — actually authentic, correctly passed.</w:t>
      </w:r>
    </w:p>
    <w:p>
      <w:pPr>
        <w:pStyle w:val="ListParagraph"/>
        <w:numPr>
          <w:ilvl w:val="0"/>
          <w:numId w:val="2"/>
        </w:numPr>
        <w:spacing w:after="80"/>
      </w:pPr>
      <w:r>
        <w:rPr>
          <w:b/>
          <w:bCs/>
        </w:rPr>
        <w:t xml:space="preserve">False negative (FN)</w:t>
      </w:r>
      <w:r>
        <w:t xml:space="preserve"> — actually manipulated, incorrectly passed. This is the "letting a fake through" failure mode.</w:t>
      </w:r>
    </w:p>
    <w:p>
      <w:pPr>
        <w:spacing w:after="160"/>
        <w:jc w:val="both"/>
      </w:pPr>
      <w:r>
        <w:t xml:space="preserve">From these four counts you get two rates that matter most: the </w:t>
      </w:r>
      <w:r>
        <w:rPr>
          <w:b/>
          <w:bCs/>
        </w:rPr>
        <w:t xml:space="preserve">true positive rate</w:t>
      </w:r>
      <w:r>
        <w:t xml:space="preserve"> (TPR, also called recall or sensitivity) = TP / (TP + FN) — of all the manipulated clips, what fraction did you catch? — and the </w:t>
      </w:r>
      <w:r>
        <w:rPr>
          <w:b/>
          <w:bCs/>
        </w:rPr>
        <w:t xml:space="preserve">false positive rate</w:t>
      </w:r>
      <w:r>
        <w:t xml:space="preserve"> (FPR) = FP / (FP + TN) — of all the authentic clips, what fraction did you wrongly flag?</w:t>
      </w:r>
    </w:p>
    <w:p>
      <w:pPr>
        <w:spacing w:after="160"/>
        <w:jc w:val="both"/>
      </w:pPr>
      <w:r>
        <w:t xml:space="preserve">There is an unavoidable trade-off between these two: lower the threshold and you catch more manipulated clips (TPR rises) but you also wrongly flag more authentic ones (FPR rises). Raise the threshold and the opposite happens. A </w:t>
      </w:r>
      <w:r>
        <w:rPr>
          <w:b/>
          <w:bCs/>
        </w:rPr>
        <w:t xml:space="preserve">ROC curve</w:t>
      </w:r>
      <w:r>
        <w:t xml:space="preserve"> (Receiver Operating Characteristic — the name is a historical artifact from radar signal detection in the 1940s, not descriptive of anything here) plots TPR against FPR as the threshold sweeps from 0 to 1, giving you the entire trade-off curve at once instead of a single point.</w:t>
      </w:r>
    </w:p>
    <w:p>
      <w:pPr>
        <w:spacing w:after="160"/>
        <w:jc w:val="both"/>
      </w:pPr>
      <w:r>
        <w:rPr>
          <w:b/>
          <w:bCs/>
        </w:rPr>
        <w:t xml:space="preserve">AUC</w:t>
      </w:r>
      <w:r>
        <w:t xml:space="preserve"> (Area Under the [ROC] Curve) condenses that whole curve into a single number between 0 and 1: the probability that, if you pick one random manipulated clip and one random authentic clip, the classifier scores the manipulated one higher. An AUC of 0.5 means the classifier is doing no better than a coin flip; 1.0 means it perfectly separates the two classes every time. AUC is the headline number on VeriFrame's </w:t>
      </w:r>
      <w:r>
        <w:rPr>
          <w:rFonts w:ascii="Consolas" w:cs="Consolas" w:eastAsia="Consolas" w:hAnsi="Consolas"/>
          <w:sz w:val="20"/>
          <w:szCs w:val="20"/>
        </w:rPr>
        <w:t xml:space="preserve">/accuracy</w:t>
      </w:r>
      <w:r>
        <w:t xml:space="preserve"> page for exactly this reason: unlike "accuracy at threshold 0.5" it does not depend on an arbitrary threshold choice, and unlike a single TPR/FPR pair it summarizes the model's behavior across every possible threshold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3FB" w:val="clear"/>
            <w:tcMar>
              <w:top w:type="dxa" w:w="160"/>
              <w:left w:type="dxa" w:w="200"/>
              <w:bottom w:type="dxa" w:w="160"/>
              <w:right w:type="dxa" w:w="200"/>
            </w:tcMar>
          </w:tcPr>
          <w:p>
            <w:pPr>
              <w:spacing w:after="80"/>
            </w:pPr>
            <w:r>
              <w:rPr>
                <w:b/>
                <w:bCs/>
              </w:rPr>
              <w:t xml:space="preserve">Worked example from VeriFrame's own data</w:t>
            </w:r>
          </w:p>
          <w:p>
            <w:r>
              <w:t xml:space="preserve">On the final held-out split of the 2026-09-07 image evaluation run (n=2000), the spatial stream scored AUC = 0.6641 and the frequency stream scored AUC = 0.5752. Neither is close to 1.0 — both are meaningfully better than the 0.5 coin-flip baseline, but far from perfect separation. Reporting these honestly, rather than only the higher in-distribution numbers a model can also produce, is the entire point of the cross-dataset protocol explained in Section 5.</w:t>
            </w:r>
          </w:p>
        </w:tc>
      </w:tr>
    </w:tbl>
    <w:p>
      <w:pPr>
        <w:spacing w:after="160"/>
        <w:jc w:val="both"/>
      </w:pPr>
      <w:r>
        <w:t xml:space="preserve">One more subtlety that matters a great deal for small evaluation sets: a </w:t>
      </w:r>
      <w:r>
        <w:rPr>
          <w:b/>
          <w:bCs/>
        </w:rPr>
        <w:t xml:space="preserve">TPR at a fixed low FPR</w:t>
      </w:r>
      <w:r>
        <w:t xml:space="preserve"> (e.g. "what fraction of fakes do you catch while only wrongly flagging 1% of authentic content") is a natural, intuitive number, but it can only be measured as precisely as your sample size allows. If you only have 125 authentic clips in your final test split, the smallest false-positive rate you can even observe is 1/125 ≈ 0.8% — trying to report a TPR at 0.1% FPR from that sample would be extrapolating past a single observed event. VeriFrame's evaluation code refuses to report such a number and instead prints "not measurable" with the arithmetic shown — this is a deliberate honesty mechanism, not a missing feature.</w:t>
      </w:r>
    </w:p>
    <w:p>
      <w:pPr>
        <w:pStyle w:val="Heading2"/>
        <w:spacing w:after="150" w:before="300"/>
      </w:pPr>
      <w:r>
        <w:t xml:space="preserve">4. Calibration vs. Discrimination: Why "Ranks Correctly" Is Not the Same as "Is Trustworthy"</w:t>
      </w:r>
    </w:p>
    <w:p>
      <w:pPr>
        <w:spacing w:after="160"/>
        <w:jc w:val="both"/>
      </w:pPr>
      <w:r>
        <w:t xml:space="preserve">AUC measures </w:t>
      </w:r>
      <w:r>
        <w:rPr>
          <w:b/>
          <w:bCs/>
        </w:rPr>
        <w:t xml:space="preserve">discrimination</w:t>
      </w:r>
      <w:r>
        <w:t xml:space="preserve"> — does the model put manipulated content above authentic content, in the right relative order? It says nothing about whether the actual numeric value the model outputs means what it appears to mean. A model can have excellent AUC (it ranks correctly almost every time) while being badly </w:t>
      </w:r>
      <w:r>
        <w:rPr>
          <w:b/>
          <w:bCs/>
        </w:rPr>
        <w:t xml:space="preserve">miscalibrated</w:t>
      </w:r>
      <w:r>
        <w:t xml:space="preserve"> — for instance, outputting 0.95 for content that, empirically, turns out to be manipulated only 60% of the time. AUC would not catch this at all, because ranking (ordering) is unaffected; the actual reported number is just wrong.</w:t>
      </w:r>
    </w:p>
    <w:p>
      <w:pPr>
        <w:spacing w:after="160"/>
        <w:jc w:val="both"/>
      </w:pPr>
      <w:r>
        <w:rPr>
          <w:b/>
          <w:bCs/>
        </w:rPr>
        <w:t xml:space="preserve">Calibration</w:t>
      </w:r>
      <w:r>
        <w:t xml:space="preserve"> asks a different question: if you look at every clip the model scored around, say, 0.8, what fraction of them were actually manipulated? A well-calibrated model would answer "about 80%." </w:t>
      </w:r>
      <w:r>
        <w:rPr>
          <w:b/>
          <w:bCs/>
        </w:rPr>
        <w:t xml:space="preserve">Expected Calibration Error (ECE)</w:t>
      </w:r>
      <w:r>
        <w:t xml:space="preserve"> measures the average gap between a model's claimed confidence and its actually-observed correctness, bucketed into bins (VeriFrame uses 10 bins spanning 0.0–1.0). A </w:t>
      </w:r>
      <w:r>
        <w:rPr>
          <w:b/>
          <w:bCs/>
        </w:rPr>
        <w:t xml:space="preserve">reliability diagram</w:t>
      </w:r>
      <w:r>
        <w:t xml:space="preserve"> — one of the chart types VeriFrame renders on the accuracy page — plots exactly this: claimed confidence on the x-axis, observed frequency on the y-axis, with a diagonal line marking perfect calibration.</w:t>
      </w:r>
    </w:p>
    <w:p>
      <w:pPr>
        <w:spacing w:after="160"/>
        <w:jc w:val="both"/>
      </w:pPr>
      <w:r>
        <w:t xml:space="preserve">Modern neural networks trained the ordinary way are systematically overconfident, a finding formalized by Guo et al. [9] (see the Reference List at the end of this guide, shared with the accompanying paper). The standard fix, which VeriFrame uses, is </w:t>
      </w:r>
      <w:r>
        <w:rPr>
          <w:b/>
          <w:bCs/>
        </w:rPr>
        <w:t xml:space="preserve">temperature scaling</w:t>
      </w:r>
      <w:r>
        <w:t xml:space="preserve">: after training is finished, divide every output logit (the pre-probability internal score) by a single learned scalar T before converting it to a probability. If T &gt; 1, this "softens" an overconfident model, pulling extreme probabilities back toward 0.5 without changing which clip scores higher than which — because dividing every score by the same constant before the final conversion step preserves the ranking exactly, AUC is mathematically guaranteed to be unaffected by temperature scaling. This is why VeriFrame fits temperature separately from — and before — fusion weights: it is a pure calibration fix, orthogonal to the ranking-quality question fusion weights are meant to answer.</w:t>
      </w:r>
    </w:p>
    <w:p>
      <w:pPr>
        <w:pStyle w:val="Heading2"/>
        <w:spacing w:after="150" w:before="300"/>
      </w:pPr>
      <w:r>
        <w:t xml:space="preserve">5. The Generalization Problem: Why "Cross-Dataset" Evaluation Is the Whole Point</w:t>
      </w:r>
    </w:p>
    <w:p>
      <w:pPr>
        <w:spacing w:after="160"/>
        <w:jc w:val="both"/>
      </w:pPr>
      <w:r>
        <w:t xml:space="preserve">This is arguably the single most important methodological idea in the entire project, and it is worth sitting with. Suppose you evaluate a classifier on the same dataset (or a held-out portion of the same dataset) it was trained or tuned on. The number you get — called an </w:t>
      </w:r>
      <w:r>
        <w:rPr>
          <w:b/>
          <w:bCs/>
        </w:rPr>
        <w:t xml:space="preserve">in-distribution</w:t>
      </w:r>
      <w:r>
        <w:t xml:space="preserve"> or </w:t>
      </w:r>
      <w:r>
        <w:rPr>
          <w:b/>
          <w:bCs/>
        </w:rPr>
        <w:t xml:space="preserve">in-dataset</w:t>
      </w:r>
      <w:r>
        <w:t xml:space="preserve"> number — measures how well the model has learned the specific patterns of that one dataset's generators, lighting conditions, compression artifacts, and so on. It is almost always higher, sometimes dramatically higher, than how the model performs on a genuinely different dataset it has never seen — because real-world deployment is exactly that: media from generators, cameras, and conditions the model was never tuned against.</w:t>
      </w:r>
    </w:p>
    <w:p>
      <w:pPr>
        <w:spacing w:after="160"/>
        <w:jc w:val="both"/>
      </w:pPr>
      <w:r>
        <w:t xml:space="preserve">VeriFrame enforces, in code, a </w:t>
      </w:r>
      <w:r>
        <w:rPr>
          <w:b/>
          <w:bCs/>
        </w:rPr>
        <w:t xml:space="preserve">mandatory cross-dataset protocol</w:t>
      </w:r>
      <w:r>
        <w:t xml:space="preserve">: temperature scaling and (as of the fix described in Part III) fusion-weight derivation are fit on one corpus (the "calibration" split), and every headline number reported to a user is measured on a *completely different* corpus (the "reporting" split) that shares no images or utterances with the calibration corpus. Passing the same corpus for both is a hard error in the evaluation harness's command-line interface — this is not a convention that could be silently forgotten, it is a check the code itself performs.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3FB" w:val="clear"/>
            <w:tcMar>
              <w:top w:type="dxa" w:w="160"/>
              <w:left w:type="dxa" w:w="200"/>
              <w:bottom w:type="dxa" w:w="160"/>
              <w:right w:type="dxa" w:w="200"/>
            </w:tcMar>
          </w:tcPr>
          <w:p>
            <w:pPr>
              <w:spacing w:after="80"/>
            </w:pPr>
            <w:r>
              <w:rPr>
                <w:b/>
                <w:bCs/>
              </w:rPr>
              <w:t xml:space="preserve">Why this matters in VeriFrame's own numbers</w:t>
            </w:r>
          </w:p>
          <w:p>
            <w:r>
              <w:t xml:space="preserve">The image </w:t>
            </w:r>
            <w:r>
              <w:rPr>
                <w:rFonts w:ascii="Consolas" w:cs="Consolas" w:eastAsia="Consolas" w:hAnsi="Consolas"/>
                <w:sz w:val="20"/>
                <w:szCs w:val="20"/>
              </w:rPr>
              <w:t xml:space="preserve">frequency</w:t>
            </w:r>
            <w:r>
              <w:t xml:space="preserve"> stream measured AUC 0.7208 in-dataset (on the same corpus calibration was fitted on) but only 0.5752 cross-dataset (on a genuinely held-out corpus) — a real, measured 0.146 AUC gap purely from evaluating on data the model has effectively "seen" versus data it has not. Quoting only the in-dataset number, as many published detectors do, would have overstated real-world performance by nearly fifteen AUC points.</w:t>
            </w:r>
          </w:p>
        </w:tc>
      </w:tr>
    </w:tbl>
    <w:p>
      <w:pPr>
        <w:spacing w:after="160"/>
        <w:jc w:val="both"/>
      </w:pPr>
      <w:r>
        <w:t xml:space="preserve">A closely related idea worth naming explicitly: a </w:t>
      </w:r>
      <w:r>
        <w:rPr>
          <w:b/>
          <w:bCs/>
        </w:rPr>
        <w:t xml:space="preserve">bootstrap confidence interval</w:t>
      </w:r>
      <w:r>
        <w:t xml:space="preserve"> (explained fully in Part IV) is reported alongside every AUC on VeriFrame's accuracy page specifically because a point estimate from a few hundred samples carries real sampling uncertainty that a bare number hides. "AUC = 0.6641" sounds precise; "AUC = 0.6641, 95% CI [0.6324, 0.6979]" honestly communicates how much that number could plausibly move if you drew a different sample of the same size from the same population.</w:t>
      </w:r>
    </w:p>
    <w:p>
      <w:pPr>
        <w:spacing w:after="120"/>
      </w:pPr>
    </w:p>
    <w:p>
      <w:r>
        <w:br w:type="page"/>
      </w:r>
    </w:p>
    <w:p>
      <w:pPr>
        <w:pStyle w:val="Heading1"/>
        <w:spacing w:after="200" w:before="400"/>
      </w:pPr>
      <w:r>
        <w:t xml:space="preserve">Part II — The Architectures Inside VeriFrame</w:t>
      </w:r>
    </w:p>
    <w:p>
      <w:pPr>
        <w:spacing w:after="160"/>
        <w:jc w:val="both"/>
      </w:pPr>
      <w:r>
        <w:t xml:space="preserve">VeriFrame does not detect manipulation with one model. It runs several independent "streams," each looking for a different kind of evidence, and combines their scores (Part III explains exactly how). This section explains what each stream actually is and why that particular tool fits that particular job.</w:t>
      </w:r>
    </w:p>
    <w:p>
      <w:pPr>
        <w:pStyle w:val="Heading2"/>
        <w:spacing w:after="150" w:before="300"/>
      </w:pPr>
      <w:r>
        <w:t xml:space="preserve">6. Stream A — Vision Transformers for Spatial Classification</w:t>
      </w:r>
    </w:p>
    <w:p>
      <w:pPr>
        <w:spacing w:after="160"/>
        <w:jc w:val="both"/>
      </w:pPr>
      <w:r>
        <w:t xml:space="preserve">The image pipeline's primary classifier is a </w:t>
      </w:r>
      <w:r>
        <w:rPr>
          <w:b/>
          <w:bCs/>
        </w:rPr>
        <w:t xml:space="preserve">Vision Transformer (ViT)</w:t>
      </w:r>
      <w:r>
        <w:t xml:space="preserve">, an architecture introduced by Dosovitskiy et al. [4] under the memorable title "An Image is Worth 16×16 Words." Transformers were originally built for language — a sentence is a sequence of word-tokens, and a transformer's core mechanism, </w:t>
      </w:r>
      <w:r>
        <w:rPr>
          <w:b/>
          <w:bCs/>
        </w:rPr>
        <w:t xml:space="preserve">self-attention</w:t>
      </w:r>
      <w:r>
        <w:t xml:space="preserve">, lets every token in the sequence directly weigh how relevant every other token is to it, regardless of distance in the sequence (unlike older recurrent models, which had to pass information step by step and could "forget" distant context).</w:t>
      </w:r>
    </w:p>
    <w:p>
      <w:pPr>
        <w:spacing w:after="160"/>
        <w:jc w:val="both"/>
      </w:pPr>
      <w:r>
        <w:t xml:space="preserve">ViT applies the same idea to images by cutting an image into a grid of fixed-size patches (16×16 pixels each, as the paper's title states), flattening each patch into a vector of numbers, and treating the sequence of patch-vectors exactly like a sequence of word-tokens. Self-attention then lets the model directly relate a patch in one corner of a face to a patch in another corner — useful for a detection task where the tell-tale artifact might be a subtle inconsistency between two regions that are spatially far apart (e.g. the boundary where a swapped face meets the original skin), which is exactly the kind of long-range relationship a convolutional network, which only sees nearby pixels at each layer, is architecturally worse at capturing directly.</w:t>
      </w:r>
    </w:p>
    <w:p>
      <w:pPr>
        <w:spacing w:after="160"/>
        <w:jc w:val="both"/>
      </w:pPr>
      <w:r>
        <w:t xml:space="preserve">VeriFrame's spatial classifier is a ViT that was pretrained on general images and then fine-tuned specifically for real-vs-manipulated face classification (</w:t>
      </w:r>
      <w:r>
        <w:rPr>
          <w:rFonts w:ascii="Consolas" w:cs="Consolas" w:eastAsia="Consolas" w:hAnsi="Consolas"/>
          <w:sz w:val="20"/>
          <w:szCs w:val="20"/>
        </w:rPr>
        <w:t xml:space="preserve">prithivMLmods/Deep-Fake-Detector-v2-Model</w:t>
      </w:r>
      <w:r>
        <w:t xml:space="preserve">, Apache-2.0 licensed — see </w:t>
      </w:r>
      <w:r>
        <w:rPr>
          <w:rFonts w:ascii="Consolas" w:cs="Consolas" w:eastAsia="Consolas" w:hAnsi="Consolas"/>
          <w:sz w:val="20"/>
          <w:szCs w:val="20"/>
        </w:rPr>
        <w:t xml:space="preserve">LICENSES.md</w:t>
      </w:r>
      <w:r>
        <w:t xml:space="preserve">). The self-reported accuracy on that model's own training benchmark is high, but — per the entire discussion in Section 5 — that number is in-distribution and is never quoted in VeriFrame's own product; only the cross-dataset number the evaluation harness measures independently is shown.</w:t>
      </w:r>
    </w:p>
    <w:p>
      <w:pPr>
        <w:pStyle w:val="Heading2"/>
        <w:spacing w:after="150" w:before="300"/>
      </w:pPr>
      <w:r>
        <w:t xml:space="preserve">7. Stream B — Frequency-Domain Analysis</w:t>
      </w:r>
    </w:p>
    <w:p>
      <w:pPr>
        <w:spacing w:after="160"/>
        <w:jc w:val="both"/>
      </w:pPr>
      <w:r>
        <w:t xml:space="preserve">Every digital image is normally described in the </w:t>
      </w:r>
      <w:r>
        <w:rPr>
          <w:b/>
          <w:bCs/>
        </w:rPr>
        <w:t xml:space="preserve">spatial domain</w:t>
      </w:r>
      <w:r>
        <w:t xml:space="preserve">: a grid of pixel brightness values. A </w:t>
      </w:r>
      <w:r>
        <w:rPr>
          <w:b/>
          <w:bCs/>
        </w:rPr>
        <w:t xml:space="preserve">frequency-domain</w:t>
      </w:r>
      <w:r>
        <w:t xml:space="preserve"> representation instead describes the same image as a sum of oscillating patterns (waves) at different frequencies — the mathematical machinery for this conversion is the </w:t>
      </w:r>
      <w:r>
        <w:rPr>
          <w:b/>
          <w:bCs/>
        </w:rPr>
        <w:t xml:space="preserve">Discrete Cosine Transform (DCT)</w:t>
      </w:r>
      <w:r>
        <w:t xml:space="preserve">, the same transform that underlies JPEG compression. Low frequencies capture smooth, gradual brightness changes (the general shape of a face); high frequencies capture fine, rapid detail (skin texture, hair, noise).</w:t>
      </w:r>
    </w:p>
    <w:p>
      <w:pPr>
        <w:spacing w:after="160"/>
        <w:jc w:val="both"/>
      </w:pPr>
      <w:r>
        <w:t xml:space="preserve">The reason this matters for detection: many generative models — especially those that upsample a lower-resolution internal representation to produce a full-size output image — leave behind a subtle, regular pattern in the high-frequency part of the spectrum that a real camera sensor does not produce, because the upsampling operation is mathematically periodic in a way that natural optical capture is not. Stream B measures statistics of an image's frequency spectrum looking for exactly this kind of irregularity, independent of anything the spatial classifier is looking at — which is the entire justification for having two streams rather than trusting one: if their errors are not perfectly correlated, combining them can catch cases either one misses alone (whether the fusion of two specific streams *does* achieve this in practice is an empirical question, not a guarantee — Part III shows this project's own honest measurement of that question, in both directions).</w:t>
      </w:r>
    </w:p>
    <w:p>
      <w:pPr>
        <w:pStyle w:val="Heading2"/>
        <w:spacing w:after="150" w:before="300"/>
      </w:pPr>
      <w:r>
        <w:t xml:space="preserve">8. Face Detection and Landmarks — YuNet and MediaPipe</w:t>
      </w:r>
    </w:p>
    <w:p>
      <w:pPr>
        <w:spacing w:after="160"/>
        <w:jc w:val="both"/>
      </w:pPr>
      <w:r>
        <w:t xml:space="preserve">Before any classifier can look at a face, something has to find the face in the frame. VeriFrame uses </w:t>
      </w:r>
      <w:r>
        <w:rPr>
          <w:b/>
          <w:bCs/>
        </w:rPr>
        <w:t xml:space="preserve">YuNet</w:t>
      </w:r>
      <w:r>
        <w:t xml:space="preserve">, a small (~230 KB), fast, MIT-licensed face detector shipped inside OpenCV, run via </w:t>
      </w:r>
      <w:r>
        <w:rPr>
          <w:rFonts w:ascii="Consolas" w:cs="Consolas" w:eastAsia="Consolas" w:hAnsi="Consolas"/>
          <w:sz w:val="20"/>
          <w:szCs w:val="20"/>
        </w:rPr>
        <w:t xml:space="preserve">cv2.FaceDetectorYN</w:t>
      </w:r>
      <w:r>
        <w:t xml:space="preserve">. YuNet outputs a bounding box (and a few landmark points) for each detected face, which the pipeline then crops out and hands to the classifiers.</w:t>
      </w:r>
    </w:p>
    <w:p>
      <w:pPr>
        <w:spacing w:after="160"/>
        <w:jc w:val="both"/>
      </w:pPr>
      <w:r>
        <w:t xml:space="preserve">For video, a second, denser analysis uses </w:t>
      </w:r>
      <w:r>
        <w:rPr>
          <w:b/>
          <w:bCs/>
        </w:rPr>
        <w:t xml:space="preserve">MediaPipe</w:t>
      </w:r>
      <w:r>
        <w:t xml:space="preserve"> [6], a cross-platform perception framework from Google, specifically its </w:t>
      </w:r>
      <w:r>
        <w:rPr>
          <w:rFonts w:ascii="Consolas" w:cs="Consolas" w:eastAsia="Consolas" w:hAnsi="Consolas"/>
          <w:sz w:val="20"/>
          <w:szCs w:val="20"/>
        </w:rPr>
        <w:t xml:space="preserve">face_landmarker</w:t>
      </w:r>
      <w:r>
        <w:t xml:space="preserve"> model — a 478-point mesh covering the entire face surface, plus </w:t>
      </w:r>
      <w:r>
        <w:rPr>
          <w:b/>
          <w:bCs/>
        </w:rPr>
        <w:t xml:space="preserve">blendshapes</w:t>
      </w:r>
      <w:r>
        <w:t xml:space="preserve"> (numeric scores for individual facial-muscle-movement categories, like "eye blink left" or "jaw open," derived from the mesh) and a head-pose transformation matrix. This dense, per-frame tracking is what makes the next signal — remote photoplethysmography — possible at all.</w:t>
      </w:r>
    </w:p>
    <w:p>
      <w:pPr>
        <w:pStyle w:val="Heading2"/>
        <w:spacing w:after="150" w:before="300"/>
      </w:pPr>
      <w:r>
        <w:t xml:space="preserve">9. Remote Photoplethysmography (rPPG) — Reading a Heartbeat From Skin Color</w:t>
      </w:r>
    </w:p>
    <w:p>
      <w:pPr>
        <w:spacing w:after="160"/>
        <w:jc w:val="both"/>
      </w:pPr>
      <w:r>
        <w:t xml:space="preserve">This is one of the least intuitive ideas in the whole system, so it is worth explaining carefully. Every heartbeat pushes a small pulse of blood through the capillaries near the skin's surface, which very slightly changes how much light the skin absorbs versus reflects — an effect invisible to the naked eye but detectable as a tiny, periodic brightness fluctuation in video of a person's face, at a frequency matching their heart rate (roughly 0.7–4 Hz, i.e. 42–240 beats per minute). This is </w:t>
      </w:r>
      <w:r>
        <w:rPr>
          <w:b/>
          <w:bCs/>
        </w:rPr>
        <w:t xml:space="preserve">photoplethysmography (PPG)</w:t>
      </w:r>
      <w:r>
        <w:t xml:space="preserve">; doing it from an ordinary video camera rather than a contact sensor clipped to a finger is "remote" PPG, or rPPG.</w:t>
      </w:r>
    </w:p>
    <w:p>
      <w:pPr>
        <w:spacing w:after="160"/>
        <w:jc w:val="both"/>
      </w:pPr>
      <w:r>
        <w:t xml:space="preserve">Why does this belong in a deepfake detector at all? Because a real, live face has a genuine, physiologically-consistent pulse signal encoded in its video, and a synthetically generated or heavily manipulated face frequently does not reproduce this subtle biological signal faithfully — either because the generator was never trained to preserve it, or because whatever process altered the face disrupted the tiny brightness pattern that carries it. VeriFrame extracts this signal from the dense landmark tracking described above, isolates the plausible heart-rate frequency band with a Butterworth bandpass filter (a standard signal-processing tool for keeping one frequency range and suppressing everything else), and looks for a clear periodic peak via a Fourier-domain method (a periodogram). A blink-rate signal, derived from the blendshape scores over time, is measured the same way as a second, related biological-plausibility check.</w:t>
      </w:r>
    </w:p>
    <w:p>
      <w:pPr>
        <w:spacing w:after="160"/>
        <w:jc w:val="both"/>
      </w:pPr>
      <w:r>
        <w:t xml:space="preserve">Two honesty mechanisms apply here, worth calling out because they exemplify the whole project's approach: first, this signal needs a minimum number of temporally dense, evenly-spaced frames to resolve a periodic signal at all — below that minimum, VeriFrame reports "not enough data" rather than a fabricated rate; second, and more importantly, </w:t>
      </w:r>
      <w:r>
        <w:rPr>
          <w:b/>
          <w:bCs/>
        </w:rPr>
        <w:t xml:space="preserve">this stream's score is reported as evidence but currently carries a fusion weight of zero</w:t>
      </w:r>
      <w:r>
        <w:t xml:space="preserve"> — Section 14 explains exactly why, and it is a direct consequence of the same weight-derivation methodology that is this project's central contribution.</w:t>
      </w:r>
    </w:p>
    <w:p>
      <w:pPr>
        <w:pStyle w:val="Heading2"/>
        <w:spacing w:after="150" w:before="300"/>
      </w:pPr>
      <w:r>
        <w:t xml:space="preserve">10. Content Provenance — C2PA and Cryptographic Signing</w:t>
      </w:r>
    </w:p>
    <w:p>
      <w:pPr>
        <w:spacing w:after="160"/>
        <w:jc w:val="both"/>
      </w:pPr>
      <w:r>
        <w:t xml:space="preserve">Every stream discussed so far is </w:t>
      </w:r>
      <w:r>
        <w:rPr>
          <w:b/>
          <w:bCs/>
        </w:rPr>
        <w:t xml:space="preserve">statistical</w:t>
      </w:r>
      <w:r>
        <w:t xml:space="preserve">: it looks at pixel or waveform patterns and infers a probability. Content Credentials, standardized by the Coalition for Content Provenance and Authenticity (C2PA) [8], is a completely different kind of evidence: </w:t>
      </w:r>
      <w:r>
        <w:rPr>
          <w:b/>
          <w:bCs/>
        </w:rPr>
        <w:t xml:space="preserve">cryptographic</w:t>
      </w:r>
      <w:r>
        <w:t xml:space="preserve">. A camera, editing tool, or generator that supports C2PA can embed a digitally signed manifest into a file recording facts about its creation and edit history — who or what created it, what tools touched it, when. Because it is cryptographically signed, the manifest cannot be silently altered without breaking the signature.</w:t>
      </w:r>
    </w:p>
    <w:p>
      <w:pPr>
        <w:spacing w:after="160"/>
        <w:jc w:val="both"/>
      </w:pPr>
      <w:r>
        <w:t xml:space="preserve">VeriFrame's Stream D reads any such manifest present in an uploaded file. Because this is categorically different evidence from a statistical score, it is handled differently in fusion: a generator naming itself in valid, verified metadata raises ("floors") the reported score, because self-declared generator metadata is strong evidence even though it is technically removable; a valid, verified Content Credentials chain from a known signer lowers ("clamps") the score, because a signature attests to the signing chain, not to whether the content was truthful before signing — a camera can sign a photo of a movie prop and the signature will be entirely valid. Neither case is treated as fully conclusive on its own, which is why it clamps or floors the score into a band that still says "review this" rather than overriding it to a definitive endpoint.</w:t>
      </w:r>
    </w:p>
    <w:p>
      <w:pPr>
        <w:pStyle w:val="Heading2"/>
        <w:spacing w:after="150" w:before="300"/>
      </w:pPr>
      <w:r>
        <w:t xml:space="preserve">11. Stream E — Audio Anti-Spoofing With Graph Attention Networks (AASIST)</w:t>
      </w:r>
    </w:p>
    <w:p>
      <w:pPr>
        <w:spacing w:after="160"/>
        <w:jc w:val="both"/>
      </w:pPr>
      <w:r>
        <w:t xml:space="preserve">Audio deepfakes (voice cloning, text-to-speech impersonation, voice conversion) are detected by </w:t>
      </w:r>
      <w:r>
        <w:rPr>
          <w:b/>
          <w:bCs/>
        </w:rPr>
        <w:t xml:space="preserve">AASIST</w:t>
      </w:r>
      <w:r>
        <w:t xml:space="preserve"> [1], a model published at ICASSP 2022 by Jung et al. that VeriFrame vendors directly (copies the source code into the repository, with attribution, rather than installing it as a package — see </w:t>
      </w:r>
      <w:r>
        <w:rPr>
          <w:rFonts w:ascii="Consolas" w:cs="Consolas" w:eastAsia="Consolas" w:hAnsi="Consolas"/>
          <w:sz w:val="20"/>
          <w:szCs w:val="20"/>
        </w:rPr>
        <w:t xml:space="preserve">LICENSES.md</w:t>
      </w:r>
      <w:r>
        <w:t xml:space="preserve">) because it ships as research code with no distributable package.</w:t>
      </w:r>
    </w:p>
    <w:p>
      <w:pPr>
        <w:spacing w:after="160"/>
        <w:jc w:val="both"/>
      </w:pPr>
      <w:r>
        <w:t xml:space="preserve">AASIST is built on </w:t>
      </w:r>
      <w:r>
        <w:rPr>
          <w:b/>
          <w:bCs/>
        </w:rPr>
        <w:t xml:space="preserve">graph neural networks</w:t>
      </w:r>
      <w:r>
        <w:t xml:space="preserve">, a family of architectures designed for data that is naturally structured as a graph — a set of nodes connected by edges — rather than a fixed grid (like an image) or a simple sequence (like a sentence). AASIST represents an audio clip's spectro-temporal structure (patterns across both frequency and time simultaneously) as a graph, and applies </w:t>
      </w:r>
      <w:r>
        <w:rPr>
          <w:b/>
          <w:bCs/>
        </w:rPr>
        <w:t xml:space="preserve">graph attention</w:t>
      </w:r>
      <w:r>
        <w:t xml:space="preserve"> — a mechanism, conceptually related to the self-attention inside ViT (Section 6), where each node learns how much to weigh information from each of its neighboring nodes — across this graph to detect spoofing artifacts that live jointly in both the frequency and time dimensions rather than in either alone. The paper's specific contribution, a "heterogeneous stacking graph attention layer," lets a single model integrate spectral and temporal artifact evidence that earlier systems needed separate, ensembled sub-models to catch.</w:t>
      </w:r>
    </w:p>
    <w:p>
      <w:pPr>
        <w:spacing w:after="160"/>
        <w:jc w:val="both"/>
      </w:pPr>
      <w:r>
        <w:t xml:space="preserve">AASIST was trained on ASVspoof2019 LA [3], a corpus purpose-built for exactly this task by the ASVspoof challenge series. VeriFrame's evaluation harness uses this same corpus as its calibration split (since it is the corpus AASIST itself was trained on, in-dataset performance there is a known quantity rather than a contamination risk of unknown extent) and reports every headline number on ASVspoof2021 DF [2], a later, genuinely different corpus built with different attack algorithms and transmission/codec conditions — the cross-dataset protocol from Section 5, applied to audio.</w:t>
      </w:r>
    </w:p>
    <w:p>
      <w:pPr>
        <w:pStyle w:val="Heading2"/>
        <w:spacing w:after="150" w:before="300"/>
      </w:pPr>
      <w:r>
        <w:t xml:space="preserve">12. Stream F — Harmonics-to-Noise Ratio: An Original Signal Designed From First Principles</w:t>
      </w:r>
    </w:p>
    <w:p>
      <w:pPr>
        <w:spacing w:after="160"/>
        <w:jc w:val="both"/>
      </w:pPr>
      <w:r>
        <w:t xml:space="preserve">This is the one detection signal in VeriFrame that was not adapted from any published model or paper — it was hand-derived for this project, starting from a testable hypothesis, exactly the kind of original methodological contribution a paper can legitimately claim. The hypothesis: a real human voice, produced by a vibrating vocal tract, contains a small amount of natural, physically-irreducible </w:t>
      </w:r>
      <w:r>
        <w:rPr>
          <w:b/>
          <w:bCs/>
        </w:rPr>
        <w:t xml:space="preserve">aperiodic noise</w:t>
      </w:r>
      <w:r>
        <w:t xml:space="preserve"> mixed in with the periodic (harmonic) component of voiced speech — breathiness, turbulence, tiny irregularities in vocal-fold vibration. A neural vocoder reconstructing speech from a compressed internal representation might reproduce the periodic structure faithfully while failing to reproduce this messier, harder-to-model noise floor, making synthetic speech measure as unnaturally "clean."</w:t>
      </w:r>
    </w:p>
    <w:p>
      <w:pPr>
        <w:spacing w:after="160"/>
        <w:jc w:val="both"/>
      </w:pPr>
      <w:r>
        <w:t xml:space="preserve">The </w:t>
      </w:r>
      <w:r>
        <w:rPr>
          <w:b/>
          <w:bCs/>
        </w:rPr>
        <w:t xml:space="preserve">harmonics-to-noise ratio (HNR)</w:t>
      </w:r>
      <w:r>
        <w:t xml:space="preserve">, in decibels, is the standard way to quantify exactly this: how much of a voiced-speech signal's energy is periodic (harmonic) versus non-periodic (noise). VeriFrame computes it via </w:t>
      </w:r>
      <w:r>
        <w:rPr>
          <w:b/>
          <w:bCs/>
        </w:rPr>
        <w:t xml:space="preserve">autocorrelation</w:t>
      </w:r>
      <w:r>
        <w:t xml:space="preserve"> — a signal-processing technique that measures how similar a signal is to a time-shifted copy of itself; a strongly periodic signal correlates highly with a copy of itself shifted by exactly one pitch period, and the strength of that peak correlation, following a formula from Boersma [Boersma, 1993, a standard reference in phonetics for this exact computation], converts directly into an HNR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3FB" w:val="clear"/>
            <w:tcMar>
              <w:top w:type="dxa" w:w="160"/>
              <w:left w:type="dxa" w:w="200"/>
              <w:bottom w:type="dxa" w:w="160"/>
              <w:right w:type="dxa" w:w="200"/>
            </w:tcMar>
          </w:tcPr>
          <w:p>
            <w:pPr>
              <w:spacing w:after="80"/>
            </w:pPr>
            <w:r>
              <w:rPr>
                <w:b/>
                <w:bCs/>
              </w:rPr>
              <w:t xml:space="preserve">The result — reported honestly, including where it fell short</w:t>
            </w:r>
          </w:p>
          <w:p>
            <w:r>
              <w:t xml:space="preserve">A 60-sample probe confirmed the hypothesis's *direction*: spoofed audio measured a mean HNR of +1.41 dB versus bonafide audio's -1.36 dB, with a standalone cross-dataset AUC of 0.780 on that small probe. A larger, more rigorous later run (n=200 final-split) measured cross-dataset AUC at 0.7709 — real signal, clearly above chance, but still meaningfully short of AASIST's own 0.9798 on the same split, and (Part III) fusing it in initially made the combined score measurably worse, not better, until the weight-derivation bug this project found and fixed was corrected — and even after the fix, fusing the two still costs a little accuracy rather than gaining any. This negative-leaning result is reported in full in </w:t>
            </w:r>
            <w:r>
              <w:rPr>
                <w:rFonts w:ascii="Consolas" w:cs="Consolas" w:eastAsia="Consolas" w:hAnsi="Consolas"/>
                <w:sz w:val="20"/>
                <w:szCs w:val="20"/>
              </w:rPr>
              <w:t xml:space="preserve">DECISIONS.md</w:t>
            </w:r>
            <w:r>
              <w:t xml:space="preserve"> rather than dropped — an unglamorous but honest finding is still a finding, and Part III explains exactly why this particular finding is the strongest part of the whole project to build a paper around.</w:t>
            </w:r>
          </w:p>
        </w:tc>
      </w:tr>
    </w:tbl>
    <w:p>
      <w:pPr>
        <w:spacing w:after="120"/>
      </w:pPr>
    </w:p>
    <w:p>
      <w:r>
        <w:br w:type="page"/>
      </w:r>
    </w:p>
    <w:p>
      <w:pPr>
        <w:pStyle w:val="Heading1"/>
        <w:spacing w:after="200" w:before="400"/>
      </w:pPr>
      <w:r>
        <w:t xml:space="preserve">Part III — Combining Evidence: Fusion, and the Central Finding of This Project</w:t>
      </w:r>
    </w:p>
    <w:p>
      <w:pPr>
        <w:spacing w:after="160"/>
        <w:jc w:val="both"/>
      </w:pPr>
      <w:r>
        <w:t xml:space="preserve">This part covers the idea most worth understanding deeply, because it is the part of VeriFrame that is a genuine, original research contribution rather than an application of existing techniques. Read it slowly.</w:t>
      </w:r>
    </w:p>
    <w:p>
      <w:pPr>
        <w:pStyle w:val="Heading2"/>
        <w:spacing w:after="150" w:before="300"/>
      </w:pPr>
      <w:r>
        <w:t xml:space="preserve">13. Why and How to Combine Multiple Streams</w:t>
      </w:r>
    </w:p>
    <w:p>
      <w:pPr>
        <w:spacing w:after="160"/>
        <w:jc w:val="both"/>
      </w:pPr>
      <w:r>
        <w:t xml:space="preserve">Each stream discussed in Part II outputs its own probability. VeriFrame combines them into one final reported score by a </w:t>
      </w:r>
      <w:r>
        <w:rPr>
          <w:b/>
          <w:bCs/>
        </w:rPr>
        <w:t xml:space="preserve">weighted average</w:t>
      </w:r>
      <w:r>
        <w:t xml:space="preserve">: each stream's score is multiplied by a weight between 0 and 1 (all weights summing to 1), and the products are added together. A stream given weight 0 contributes nothing to the final number, regardless of what it outputs — this is exactly what happens to Stream C (rPPG/biological signals) today, as noted in Section 9, because no video-labeled dataset yet exists to derive a weight for it from measurement.</w:t>
      </w:r>
    </w:p>
    <w:p>
      <w:pPr>
        <w:spacing w:after="160"/>
        <w:jc w:val="both"/>
      </w:pPr>
      <w:r>
        <w:t xml:space="preserve">The obvious question is: where do the weights come from? VeriFrame's answer, stated as a project principle from the start, is that weights must be </w:t>
      </w:r>
      <w:r>
        <w:rPr>
          <w:b/>
          <w:bCs/>
        </w:rPr>
        <w:t xml:space="preserve">derived from measurement, never chosen by hand</w:t>
      </w:r>
      <w:r>
        <w:t xml:space="preserve"> — a stream that measurably carries no signal is required to receive a weight near zero as a direct mathematical consequence, not because anyone judged it useless. The formula: normalize each stream's "lift over chance" (its AUC minus 0.5, floored at zero so a below-chance stream cannot contribute a negative — i.e. inverted — weight) across all streams. A stream at exactly 0.5 AUC (pure chance) or below receives exactly zero weight; two streams with AUCs of 0.7 and 0.6 (lift of 0.2 and 0.1) split the weight 2:1 in the stronger stream's favor.</w:t>
      </w:r>
    </w:p>
    <w:p>
      <w:pPr>
        <w:spacing w:after="160"/>
        <w:jc w:val="both"/>
      </w:pPr>
      <w:r>
        <w:t xml:space="preserve">This formula is simple and defensible — but it raises a question the rest of this part answers: measured on *which data*?</w:t>
      </w:r>
    </w:p>
    <w:p>
      <w:pPr>
        <w:pStyle w:val="Heading2"/>
        <w:spacing w:after="150" w:before="300"/>
      </w:pPr>
      <w:r>
        <w:t xml:space="preserve">14. The Bug: In-Distribution AUC Is a Biased Predictor of Cross-Dataset Weight</w:t>
      </w:r>
    </w:p>
    <w:p>
      <w:pPr>
        <w:spacing w:after="160"/>
        <w:jc w:val="both"/>
      </w:pPr>
      <w:r>
        <w:t xml:space="preserve">Here is the finding, in one sentence: </w:t>
      </w:r>
      <w:r>
        <w:rPr>
          <w:b/>
          <w:bCs/>
        </w:rPr>
        <w:t xml:space="preserve">deriving fusion weights from a stream's AUC on the calibration split — the same in-distribution data used to fit temperature scaling — systematically overweights streams that memorize calibration-specific patterns and underweights streams that generalize better, because in-distribution AUC and cross-dataset AUC are simply not the same measurement</w:t>
      </w:r>
      <w:r>
        <w:t xml:space="preserve">, and this project confirmed that gap is not a one-off fluke by finding it independently, with completely different signals, in two different modalities.</w:t>
      </w:r>
    </w:p>
    <w:p>
      <w:pPr>
        <w:pStyle w:val="Heading3"/>
        <w:spacing w:after="100" w:before="200"/>
      </w:pPr>
      <w:r>
        <w:t xml:space="preserve">The image evidence</w:t>
      </w:r>
    </w:p>
    <w:p>
      <w:pPr>
        <w:spacing w:after="160"/>
        <w:jc w:val="both"/>
      </w:pPr>
      <w:r>
        <w:t xml:space="preserve">An early evaluation run derived fusion weights from calibration-split AUC as originally designed. The frequency stream (Section 7) scored 0.713 AUC on the calibration split, versus the spatial stream's (Section 6) 0.534 — a wide, seemingly clear-cut gap that gave frequency 86.4% of the fusion weight. But on the held-out reporting split — the number that actually matters for real-world performance — </w:t>
      </w:r>
      <w:r>
        <w:rPr>
          <w:b/>
          <w:bCs/>
        </w:rPr>
        <w:t xml:space="preserve">spatial generalized better</w:t>
      </w:r>
      <w:r>
        <w:t xml:space="preserve"> (0.663 vs. 0.589 AUC): the stream weighted more heavily by the flawed procedure was precisely the one that transferred worse to new data.</w:t>
      </w:r>
    </w:p>
    <w:p>
      <w:pPr>
        <w:pStyle w:val="Heading3"/>
        <w:spacing w:after="100" w:before="200"/>
      </w:pPr>
      <w:r>
        <w:t xml:space="preserve">The audio evidence — an independent confirmation, not a coincidence</w:t>
      </w:r>
    </w:p>
    <w:p>
      <w:pPr>
        <w:spacing w:after="160"/>
        <w:jc w:val="both"/>
      </w:pPr>
      <w:r>
        <w:t xml:space="preserve">The same pattern reappeared, entirely independently, when the hand-derived harmonics-to-noise-ratio stream (Section 12) was added to the audio pipeline: it measured AUC 0.907 on the calibration split (in-distribution) but only 0.685 cross-dataset — and fusing it in at its calibration-derived weight (44.85% of the total) *reduced* the fused score's cross-dataset AUC from 0.962 (AASIST alone) to 0.933. Two completely unrelated signals, in two completely different modalities, produced the identical shape of failure. That is what makes this a real, generalizable methodological finding rather than an artifact of one particular dataset or one particular stream.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3FB" w:val="clear"/>
            <w:tcMar>
              <w:top w:type="dxa" w:w="160"/>
              <w:left w:type="dxa" w:w="200"/>
              <w:bottom w:type="dxa" w:w="160"/>
              <w:right w:type="dxa" w:w="200"/>
            </w:tcMar>
          </w:tcPr>
          <w:p>
            <w:pPr>
              <w:spacing w:after="80"/>
            </w:pPr>
            <w:r>
              <w:rPr>
                <w:b/>
                <w:bCs/>
              </w:rPr>
              <w:t xml:space="preserve">Why this matters beyond VeriFrame</w:t>
            </w:r>
          </w:p>
          <w:p>
            <w:r>
              <w:t xml:space="preserve">This is not a claim that any *specific* stream is bad. It is a claim about the *procedure* used to decide how much to trust a stream — a procedure many multi-model detection systems could plausibly be using today without realizing the same bias applies. That generality (a methodology finding, not a leaderboard number) is exactly the kind of contribution a focused paper can defend cleanly.</w:t>
            </w:r>
          </w:p>
        </w:tc>
      </w:tr>
    </w:tbl>
    <w:p>
      <w:pPr>
        <w:pStyle w:val="Heading2"/>
        <w:spacing w:after="150" w:before="300"/>
      </w:pPr>
      <w:r>
        <w:t xml:space="preserve">15. The Fix: A Genuine Held-Out Validation Split</w:t>
      </w:r>
    </w:p>
    <w:p>
      <w:pPr>
        <w:spacing w:after="160"/>
        <w:jc w:val="both"/>
      </w:pPr>
      <w:r>
        <w:t xml:space="preserve">The methodologically purest fix would use a *third*, fully independent corpus: fit calibration on one, select the fitting procedure (including fusion weights) on a second, and report final numbers only on a third, untouched by either of the first two. VeriFrame does not have that third corpus — finding even a second commercially-licensed, reporting-quality corpus per modality proved hard enough (</w:t>
      </w:r>
      <w:r>
        <w:rPr>
          <w:rFonts w:ascii="Consolas" w:cs="Consolas" w:eastAsia="Consolas" w:hAnsi="Consolas"/>
          <w:sz w:val="20"/>
          <w:szCs w:val="20"/>
        </w:rPr>
        <w:t xml:space="preserve">LICENSES.md</w:t>
      </w:r>
      <w:r>
        <w:t xml:space="preserve"> documents several rejected candidates, turned away for license or provenance reasons, before landing on the two actually used).</w:t>
      </w:r>
    </w:p>
    <w:p>
      <w:pPr>
        <w:spacing w:after="160"/>
        <w:jc w:val="both"/>
      </w:pPr>
      <w:r>
        <w:t xml:space="preserve">The fix actually implemented achieves the same statistical guarantee without a third corpus: the reporting corpus is split once, </w:t>
      </w:r>
      <w:r>
        <w:rPr>
          <w:b/>
          <w:bCs/>
        </w:rPr>
        <w:t xml:space="preserve">stratified by label</w:t>
      </w:r>
      <w:r>
        <w:t xml:space="preserve"> (i.e. the split preserves the same manipulated-vs-authentic ratio in both halves, so neither half is accidentally skewed), into a </w:t>
      </w:r>
      <w:r>
        <w:rPr>
          <w:b/>
          <w:bCs/>
        </w:rPr>
        <w:t xml:space="preserve">weight-validation half</w:t>
      </w:r>
      <w:r>
        <w:t xml:space="preserve"> — a genuine cross-dataset measurement, since it is drawn from a different corpus than calibration, used *only* to derive fusion weights — and a </w:t>
      </w:r>
      <w:r>
        <w:rPr>
          <w:b/>
          <w:bCs/>
        </w:rPr>
        <w:t xml:space="preserve">final reporting half</w:t>
      </w:r>
      <w:r>
        <w:t xml:space="preserve">, touched exactly once, after weights are already fixed, to compute the numbers actually shown to a user. This is implemented once, in a small shared module (</w:t>
      </w:r>
      <w:r>
        <w:rPr>
          <w:rFonts w:ascii="Consolas" w:cs="Consolas" w:eastAsia="Consolas" w:hAnsi="Consolas"/>
          <w:sz w:val="20"/>
          <w:szCs w:val="20"/>
        </w:rPr>
        <w:t xml:space="preserve">eval/splits.py</w:t>
      </w:r>
      <w:r>
        <w:t xml:space="preserve">), and applied identically to both the image and audio evaluation harnesses.</w:t>
      </w:r>
    </w:p>
    <w:p>
      <w:pPr>
        <w:pStyle w:val="Heading3"/>
        <w:spacing w:after="100" w:before="200"/>
      </w:pPr>
      <w:r>
        <w:t xml:space="preserve">The fix, measured</w:t>
      </w:r>
    </w:p>
    <w:p>
      <w:pPr>
        <w:spacing w:after="160"/>
        <w:jc w:val="both"/>
      </w:pPr>
      <w:r>
        <w:t xml:space="preserve">Re-running both harnesses with this fix in place, and comparing directly against the flawed calibration-split-derived numbers above, quantifies exactly how much the fix helped. The first pass through this comparison used a few hundred samples per split; a later, four-times-larger re-run confirmed the same qualitative story at more statistical power, with some of the exact numbers shifting as a result — reported below as the current, larger-sample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D9E2F3" w:val="clear"/>
            <w:tcMar>
              <w:top w:type="dxa" w:w="80"/>
              <w:left w:type="dxa" w:w="100"/>
              <w:bottom w:type="dxa" w:w="80"/>
              <w:right w:type="dxa" w:w="100"/>
            </w:tcMar>
          </w:tcPr>
          <w:p>
            <w:r>
              <w:rPr>
                <w:b/>
                <w:bCs/>
                <w:sz w:val="20"/>
                <w:szCs w:val="20"/>
              </w:rPr>
              <w:t xml:space="preserve">Modality</w:t>
            </w:r>
          </w:p>
        </w:tc>
        <w:tc>
          <w:tcPr>
            <w:tcW w:type="dxa" w:w="3008"/>
            <w:shd w:fill="D9E2F3" w:val="clear"/>
            <w:tcMar>
              <w:top w:type="dxa" w:w="80"/>
              <w:left w:type="dxa" w:w="100"/>
              <w:bottom w:type="dxa" w:w="80"/>
              <w:right w:type="dxa" w:w="100"/>
            </w:tcMar>
          </w:tcPr>
          <w:p>
            <w:r>
              <w:rPr>
                <w:b/>
                <w:bCs/>
                <w:sz w:val="20"/>
                <w:szCs w:val="20"/>
              </w:rPr>
              <w:t xml:space="preserve">Old weight source → new</w:t>
            </w:r>
          </w:p>
        </w:tc>
        <w:tc>
          <w:tcPr>
            <w:tcW w:type="dxa" w:w="3008"/>
            <w:shd w:fill="D9E2F3" w:val="clear"/>
            <w:tcMar>
              <w:top w:type="dxa" w:w="80"/>
              <w:left w:type="dxa" w:w="100"/>
              <w:bottom w:type="dxa" w:w="80"/>
              <w:right w:type="dxa" w:w="100"/>
            </w:tcMar>
          </w:tcPr>
          <w:p>
            <w:r>
              <w:rPr>
                <w:b/>
                <w:bCs/>
                <w:sz w:val="20"/>
                <w:szCs w:val="20"/>
              </w:rPr>
              <w:t xml:space="preserve">Fused-vs-alone AUC gap, before → after</w:t>
            </w:r>
          </w:p>
        </w:tc>
      </w:tr>
      <w:tr>
        <w:tc>
          <w:tcPr>
            <w:tcW w:type="dxa" w:w="3008"/>
            <w:tcMar>
              <w:top w:type="dxa" w:w="80"/>
              <w:left w:type="dxa" w:w="100"/>
              <w:bottom w:type="dxa" w:w="80"/>
              <w:right w:type="dxa" w:w="100"/>
            </w:tcMar>
          </w:tcPr>
          <w:p>
            <w:r>
              <w:rPr>
                <w:sz w:val="20"/>
                <w:szCs w:val="20"/>
              </w:rPr>
              <w:t xml:space="preserve">Audio (n=400)</w:t>
            </w:r>
          </w:p>
        </w:tc>
        <w:tc>
          <w:tcPr>
            <w:tcW w:type="dxa" w:w="3008"/>
            <w:tcMar>
              <w:top w:type="dxa" w:w="80"/>
              <w:left w:type="dxa" w:w="100"/>
              <w:bottom w:type="dxa" w:w="80"/>
              <w:right w:type="dxa" w:w="100"/>
            </w:tcMar>
          </w:tcPr>
          <w:p>
            <w:r>
              <w:rPr>
                <w:sz w:val="20"/>
                <w:szCs w:val="20"/>
              </w:rPr>
              <w:t xml:space="preserve">Calibration-split AUC → validation-split AUC</w:t>
            </w:r>
          </w:p>
        </w:tc>
        <w:tc>
          <w:tcPr>
            <w:tcW w:type="dxa" w:w="3008"/>
            <w:tcMar>
              <w:top w:type="dxa" w:w="80"/>
              <w:left w:type="dxa" w:w="100"/>
              <w:bottom w:type="dxa" w:w="80"/>
              <w:right w:type="dxa" w:w="100"/>
            </w:tcMar>
          </w:tcPr>
          <w:p>
            <w:r>
              <w:rPr>
                <w:sz w:val="20"/>
                <w:szCs w:val="20"/>
              </w:rPr>
              <w:t xml:space="preserve">−0.0294 → −0.0240 (smaller, not eliminated)</w:t>
            </w:r>
          </w:p>
        </w:tc>
      </w:tr>
      <w:tr>
        <w:tc>
          <w:tcPr>
            <w:tcW w:type="dxa" w:w="3008"/>
            <w:tcMar>
              <w:top w:type="dxa" w:w="80"/>
              <w:left w:type="dxa" w:w="100"/>
              <w:bottom w:type="dxa" w:w="80"/>
              <w:right w:type="dxa" w:w="100"/>
            </w:tcMar>
          </w:tcPr>
          <w:p>
            <w:r>
              <w:rPr>
                <w:sz w:val="20"/>
                <w:szCs w:val="20"/>
              </w:rPr>
              <w:t xml:space="preserve">Images (n=2000)</w:t>
            </w:r>
          </w:p>
        </w:tc>
        <w:tc>
          <w:tcPr>
            <w:tcW w:type="dxa" w:w="3008"/>
            <w:tcMar>
              <w:top w:type="dxa" w:w="80"/>
              <w:left w:type="dxa" w:w="100"/>
              <w:bottom w:type="dxa" w:w="80"/>
              <w:right w:type="dxa" w:w="100"/>
            </w:tcMar>
          </w:tcPr>
          <w:p>
            <w:r>
              <w:rPr>
                <w:sz w:val="20"/>
                <w:szCs w:val="20"/>
              </w:rPr>
              <w:t xml:space="preserve">86.4% / 13.6% (lopsided) → 62.4% / 37.6%</w:t>
            </w:r>
          </w:p>
        </w:tc>
        <w:tc>
          <w:tcPr>
            <w:tcW w:type="dxa" w:w="3008"/>
            <w:tcMar>
              <w:top w:type="dxa" w:w="80"/>
              <w:left w:type="dxa" w:w="100"/>
              <w:bottom w:type="dxa" w:w="80"/>
              <w:right w:type="dxa" w:w="100"/>
            </w:tcMar>
          </w:tcPr>
          <w:p>
            <w:r>
              <w:rPr>
                <w:sz w:val="20"/>
                <w:szCs w:val="20"/>
              </w:rPr>
              <w:t xml:space="preserve">matches genuine cross-dataset AUCs of 0.663 / 0.598 — a real, now statistically significant gap, not a tie</w:t>
            </w:r>
          </w:p>
        </w:tc>
      </w:tr>
    </w:tbl>
    <w:p>
      <w:pPr>
        <w:spacing w:after="120"/>
      </w:pPr>
    </w:p>
    <w:p>
      <w:pPr>
        <w:spacing w:after="160"/>
        <w:jc w:val="both"/>
      </w:pPr>
      <w:r>
        <w:t xml:space="preserve">The audio fix did not close the gap to exactly zero — the fused score still generalizes somewhat worse than AASIST alone on the final held-out split — but the size of the mistake shrank purely from fitting the weight against the correct kind of measurement, with no change to any underlying model. That is the paper's headline empirical result. Note that the image weight split above is no longer "near-even" the way an earlier, smaller run suggested — the larger run showed spatial is genuinely, measurably stronger than frequency, not just tied with it. Section 16 explains how this project caught that difference.</w:t>
      </w:r>
    </w:p>
    <w:p>
      <w:pPr>
        <w:pStyle w:val="Heading2"/>
        <w:spacing w:after="150" w:before="300"/>
      </w:pPr>
      <w:r>
        <w:t xml:space="preserve">16. Is the Fix Just Luck? Significance Testing and Weight Stability</w:t>
      </w:r>
    </w:p>
    <w:p>
      <w:pPr>
        <w:spacing w:after="160"/>
        <w:jc w:val="both"/>
      </w:pPr>
      <w:r>
        <w:t xml:space="preserve">A fair objection to Section 15's numbers: with only a few hundred samples per split, could this "fix" just be noise — a different lucky draw of which clips happened to land in which half? This project added two further checks specifically to answer that objection honestly rather than assume the answer, and Part IV explains exactly how both work. The interesting part of the story is not just what they found, but that they found *different* answers at different sample sizes, and that difference is itself instructive: an early, smaller image run (n=250 per final split) found the 0.052 AUC gap between spatial and frequency </w:t>
      </w:r>
      <w:r>
        <w:rPr>
          <w:b/>
          <w:bCs/>
        </w:rPr>
        <w:t xml:space="preserve">not</w:t>
      </w:r>
      <w:r>
        <w:t xml:space="preserve"> statistically significant (p = 0.278) — the two streams looked roughly comparable at that sample size. Re-running at four times the sample size (n=1000 per final split) flipped that verdict: the same comparison is now significant (p ≈ 0.0000). The gap was real all along; the smaller sample simply did not have enough statistical power to detect it confidently. The audio pair, meanwhile, showed a significant gap (p ≈ 0.0000) at every sample size tested. Neither result is a house opinion about how similar two streams "should" be — both are what a genuine significance test says about the specific data it was given, and a "not significant" result should always be read as "not enough data to tell yet," never as proof of no real difference.</w:t>
      </w:r>
    </w:p>
    <w:p>
      <w:pPr>
        <w:spacing w:after="120"/>
      </w:pPr>
    </w:p>
    <w:p>
      <w:r>
        <w:br w:type="page"/>
      </w:r>
    </w:p>
    <w:p>
      <w:pPr>
        <w:pStyle w:val="Heading1"/>
        <w:spacing w:after="200" w:before="400"/>
      </w:pPr>
      <w:r>
        <w:t xml:space="preserve">Part IV — The Statistics: Bootstrap Resampling and Significance Testing</w:t>
      </w:r>
    </w:p>
    <w:p>
      <w:pPr>
        <w:pStyle w:val="Heading2"/>
        <w:spacing w:after="150" w:before="300"/>
      </w:pPr>
      <w:r>
        <w:t xml:space="preserve">17. Bootstrap Resampling, Explained From Scratch</w:t>
      </w:r>
    </w:p>
    <w:p>
      <w:pPr>
        <w:spacing w:after="160"/>
        <w:jc w:val="both"/>
      </w:pPr>
      <w:r>
        <w:t xml:space="preserve">Imagine you have 1000 test samples and you compute an AUC of 0.6641 from them. How much would that number change if you happened to test on a *different* set of 1000 samples drawn from the same underlying population? You cannot go collect a hundred more independent test sets to find out directly — real-world data is expensive and limited. The </w:t>
      </w:r>
      <w:r>
        <w:rPr>
          <w:b/>
          <w:bCs/>
        </w:rPr>
        <w:t xml:space="preserve">bootstrap</w:t>
      </w:r>
      <w:r>
        <w:t xml:space="preserve">, introduced by Efron [10] in 1979, is a remarkably simple trick that estimates this variability using only the one sample you already have.</w:t>
      </w:r>
    </w:p>
    <w:p>
      <w:pPr>
        <w:spacing w:after="160"/>
        <w:jc w:val="both"/>
      </w:pPr>
      <w:r>
        <w:t xml:space="preserve">The procedure: from your original 1000 samples, draw a new "resample" of 1000 items </w:t>
      </w:r>
      <w:r>
        <w:rPr>
          <w:b/>
          <w:bCs/>
        </w:rPr>
        <w:t xml:space="preserve">with replacement</w:t>
      </w:r>
      <w:r>
        <w:t xml:space="preserve"> — meaning the same original sample can be picked more than once, and some originals may not be picked at all in a given resample. Compute your statistic (AUC, or a difference of two AUCs, or a fusion weight) on this resample. Repeat this hundreds or thousands of times, each time getting a slightly different resample and therefore a slightly different statistic. The resulting spread of values across all those resamples approximates the sampling distribution — how much your statistic would plausibly vary if you really could re-draw new samples from the population — using nothing but the one dataset you actually collected.</w:t>
      </w:r>
    </w:p>
    <w:p>
      <w:pPr>
        <w:spacing w:after="160"/>
        <w:jc w:val="both"/>
      </w:pPr>
      <w:r>
        <w:t xml:space="preserve">From that spread you can read off a </w:t>
      </w:r>
      <w:r>
        <w:rPr>
          <w:b/>
          <w:bCs/>
        </w:rPr>
        <w:t xml:space="preserve">95% confidence interval</w:t>
      </w:r>
      <w:r>
        <w:t xml:space="preserve">: the range covering the middle 95% of resampled values (found by taking the 2.5th and 97.5th percentiles of the resampled statistics). "AUC = 0.6641, 95% CI [0.6324, 0.6979]" means: if you trust the bootstrap approximation, you would expect a re-run on a fresh sample of the same size to land inside that range about 95% of the time. VeriFrame reports this interval next to every single AUC on its accuracy page, precisely so a small, precise-looking number is never read as more certain than the sample size actually supports.</w:t>
      </w:r>
    </w:p>
    <w:p>
      <w:pPr>
        <w:pStyle w:val="Heading2"/>
        <w:spacing w:after="150" w:before="300"/>
      </w:pPr>
      <w:r>
        <w:t xml:space="preserve">18. Testing Whether a Difference Is Real: The Paired Bootstrap Significance Test</w:t>
      </w:r>
    </w:p>
    <w:p>
      <w:pPr>
        <w:spacing w:after="160"/>
        <w:jc w:val="both"/>
      </w:pPr>
      <w:r>
        <w:t xml:space="preserve">Section 15 reported that spatial beats frequency by 0.0889 AUC on the final split. Is that a real, reproducible difference between the two streams, or could it just as easily have come out the other way with a different draw of the same 1000 samples? This is a </w:t>
      </w:r>
      <w:r>
        <w:rPr>
          <w:b/>
          <w:bCs/>
        </w:rPr>
        <w:t xml:space="preserve">hypothesis test</w:t>
      </w:r>
      <w:r>
        <w:t xml:space="preserve"> question, and the specific tool VeriFrame built for it is a </w:t>
      </w:r>
      <w:r>
        <w:rPr>
          <w:b/>
          <w:bCs/>
        </w:rPr>
        <w:t xml:space="preserve">paired bootstrap significance test</w:t>
      </w:r>
      <w:r>
        <w:t xml:space="preserve">.</w:t>
      </w:r>
    </w:p>
    <w:p>
      <w:pPr>
        <w:spacing w:after="160"/>
        <w:jc w:val="both"/>
      </w:pPr>
      <w:r>
        <w:t xml:space="preserve">"Paired" is the important word: both streams were scored on the *exact same* clips, so their errors are correlated (a particularly hard or particularly easy clip affects both streams' scores, not just one). The test resamples with replacement exactly as in Section 17, but critically applies the </w:t>
      </w:r>
      <w:r>
        <w:rPr>
          <w:b/>
          <w:bCs/>
        </w:rPr>
        <w:t xml:space="preserve">same</w:t>
      </w:r>
      <w:r>
        <w:t xml:space="preserve"> resampled indices to both streams on every iteration — so each resample still represents "the same set of clips," just possibly with duplicates, for both streams at once. On each resample, it computes (stream A's AUC) minus (stream B's AUC), building up a distribution of that *difference* across all resamples. If the resulting 95% confidence interval on the difference excludes zero, the difference is deemed statistically significant; if the interval includes zero — meaning "the difference could plausibly have been exactly zero, or even flipped sign, under resampling" — it is not.</w:t>
      </w:r>
    </w:p>
    <w:p>
      <w:pPr>
        <w:spacing w:after="160"/>
        <w:jc w:val="both"/>
      </w:pPr>
      <w:r>
        <w:t xml:space="preserve">This pairing matters: a naive alternative — computing two *separate* confidence intervals, one per stream, and eyeballing whether they overlap — is a well-known statistical mistake, because it ignores the correlation between the two streams' errors and can be both too conservative and too liberal depending on how strongly correlated they are. The paired approach VeriFrame uses avoids that pitfall by construction.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shd w:fill="D9E2F3" w:val="clear"/>
            <w:tcMar>
              <w:top w:type="dxa" w:w="80"/>
              <w:left w:type="dxa" w:w="100"/>
              <w:bottom w:type="dxa" w:w="80"/>
              <w:right w:type="dxa" w:w="100"/>
            </w:tcMar>
          </w:tcPr>
          <w:p>
            <w:r>
              <w:rPr>
                <w:b/>
                <w:bCs/>
                <w:sz w:val="20"/>
                <w:szCs w:val="20"/>
              </w:rPr>
              <w:t xml:space="preserve">Stream pair</w:t>
            </w:r>
          </w:p>
        </w:tc>
        <w:tc>
          <w:tcPr>
            <w:tcW w:type="dxa" w:w="1805"/>
            <w:shd w:fill="D9E2F3" w:val="clear"/>
            <w:tcMar>
              <w:top w:type="dxa" w:w="80"/>
              <w:left w:type="dxa" w:w="100"/>
              <w:bottom w:type="dxa" w:w="80"/>
              <w:right w:type="dxa" w:w="100"/>
            </w:tcMar>
          </w:tcPr>
          <w:p>
            <w:r>
              <w:rPr>
                <w:b/>
                <w:bCs/>
                <w:sz w:val="20"/>
                <w:szCs w:val="20"/>
              </w:rPr>
              <w:t xml:space="preserve">Observed gap</w:t>
            </w:r>
          </w:p>
        </w:tc>
        <w:tc>
          <w:tcPr>
            <w:tcW w:type="dxa" w:w="1805"/>
            <w:shd w:fill="D9E2F3" w:val="clear"/>
            <w:tcMar>
              <w:top w:type="dxa" w:w="80"/>
              <w:left w:type="dxa" w:w="100"/>
              <w:bottom w:type="dxa" w:w="80"/>
              <w:right w:type="dxa" w:w="100"/>
            </w:tcMar>
          </w:tcPr>
          <w:p>
            <w:r>
              <w:rPr>
                <w:b/>
                <w:bCs/>
                <w:sz w:val="20"/>
                <w:szCs w:val="20"/>
              </w:rPr>
              <w:t xml:space="preserve">95% CI on the difference</w:t>
            </w:r>
          </w:p>
        </w:tc>
        <w:tc>
          <w:tcPr>
            <w:tcW w:type="dxa" w:w="1805"/>
            <w:shd w:fill="D9E2F3" w:val="clear"/>
            <w:tcMar>
              <w:top w:type="dxa" w:w="80"/>
              <w:left w:type="dxa" w:w="100"/>
              <w:bottom w:type="dxa" w:w="80"/>
              <w:right w:type="dxa" w:w="100"/>
            </w:tcMar>
          </w:tcPr>
          <w:p>
            <w:r>
              <w:rPr>
                <w:b/>
                <w:bCs/>
                <w:sz w:val="20"/>
                <w:szCs w:val="20"/>
              </w:rPr>
              <w:t xml:space="preserve">p-value</w:t>
            </w:r>
          </w:p>
        </w:tc>
        <w:tc>
          <w:tcPr>
            <w:tcW w:type="dxa" w:w="1805"/>
            <w:shd w:fill="D9E2F3" w:val="clear"/>
            <w:tcMar>
              <w:top w:type="dxa" w:w="80"/>
              <w:left w:type="dxa" w:w="100"/>
              <w:bottom w:type="dxa" w:w="80"/>
              <w:right w:type="dxa" w:w="100"/>
            </w:tcMar>
          </w:tcPr>
          <w:p>
            <w:r>
              <w:rPr>
                <w:b/>
                <w:bCs/>
                <w:sz w:val="20"/>
                <w:szCs w:val="20"/>
              </w:rPr>
              <w:t xml:space="preserve">Verdict</w:t>
            </w:r>
          </w:p>
        </w:tc>
      </w:tr>
      <w:tr>
        <w:tc>
          <w:tcPr>
            <w:tcW w:type="dxa" w:w="1805"/>
            <w:tcMar>
              <w:top w:type="dxa" w:w="80"/>
              <w:left w:type="dxa" w:w="100"/>
              <w:bottom w:type="dxa" w:w="80"/>
              <w:right w:type="dxa" w:w="100"/>
            </w:tcMar>
          </w:tcPr>
          <w:p>
            <w:r>
              <w:rPr>
                <w:sz w:val="20"/>
                <w:szCs w:val="20"/>
              </w:rPr>
              <w:t xml:space="preserve">Spatial vs. frequency (images, n=1000)</w:t>
            </w:r>
          </w:p>
        </w:tc>
        <w:tc>
          <w:tcPr>
            <w:tcW w:type="dxa" w:w="1805"/>
            <w:tcMar>
              <w:top w:type="dxa" w:w="80"/>
              <w:left w:type="dxa" w:w="100"/>
              <w:bottom w:type="dxa" w:w="80"/>
              <w:right w:type="dxa" w:w="100"/>
            </w:tcMar>
          </w:tcPr>
          <w:p>
            <w:r>
              <w:rPr>
                <w:sz w:val="20"/>
                <w:szCs w:val="20"/>
              </w:rPr>
              <w:t xml:space="preserve">+0.0889</w:t>
            </w:r>
          </w:p>
        </w:tc>
        <w:tc>
          <w:tcPr>
            <w:tcW w:type="dxa" w:w="1805"/>
            <w:tcMar>
              <w:top w:type="dxa" w:w="80"/>
              <w:left w:type="dxa" w:w="100"/>
              <w:bottom w:type="dxa" w:w="80"/>
              <w:right w:type="dxa" w:w="100"/>
            </w:tcMar>
          </w:tcPr>
          <w:p>
            <w:r>
              <w:rPr>
                <w:sz w:val="20"/>
                <w:szCs w:val="20"/>
              </w:rPr>
              <w:t xml:space="preserve">[0.0397, 0.1365]</w:t>
            </w:r>
          </w:p>
        </w:tc>
        <w:tc>
          <w:tcPr>
            <w:tcW w:type="dxa" w:w="1805"/>
            <w:tcMar>
              <w:top w:type="dxa" w:w="80"/>
              <w:left w:type="dxa" w:w="100"/>
              <w:bottom w:type="dxa" w:w="80"/>
              <w:right w:type="dxa" w:w="100"/>
            </w:tcMar>
          </w:tcPr>
          <w:p>
            <w:r>
              <w:rPr>
                <w:sz w:val="20"/>
                <w:szCs w:val="20"/>
              </w:rPr>
              <w:t xml:space="preserve">0.0000</w:t>
            </w:r>
          </w:p>
        </w:tc>
        <w:tc>
          <w:tcPr>
            <w:tcW w:type="dxa" w:w="1805"/>
            <w:tcMar>
              <w:top w:type="dxa" w:w="80"/>
              <w:left w:type="dxa" w:w="100"/>
              <w:bottom w:type="dxa" w:w="80"/>
              <w:right w:type="dxa" w:w="100"/>
            </w:tcMar>
          </w:tcPr>
          <w:p>
            <w:r>
              <w:rPr>
                <w:sz w:val="20"/>
                <w:szCs w:val="20"/>
              </w:rPr>
              <w:t xml:space="preserve">Significant</w:t>
            </w:r>
          </w:p>
        </w:tc>
      </w:tr>
      <w:tr>
        <w:tc>
          <w:tcPr>
            <w:tcW w:type="dxa" w:w="1805"/>
            <w:tcMar>
              <w:top w:type="dxa" w:w="80"/>
              <w:left w:type="dxa" w:w="100"/>
              <w:bottom w:type="dxa" w:w="80"/>
              <w:right w:type="dxa" w:w="100"/>
            </w:tcMar>
          </w:tcPr>
          <w:p>
            <w:r>
              <w:rPr>
                <w:sz w:val="20"/>
                <w:szCs w:val="20"/>
              </w:rPr>
              <w:t xml:space="preserve">Audio vs. audio-frequency (n=200)</w:t>
            </w:r>
          </w:p>
        </w:tc>
        <w:tc>
          <w:tcPr>
            <w:tcW w:type="dxa" w:w="1805"/>
            <w:tcMar>
              <w:top w:type="dxa" w:w="80"/>
              <w:left w:type="dxa" w:w="100"/>
              <w:bottom w:type="dxa" w:w="80"/>
              <w:right w:type="dxa" w:w="100"/>
            </w:tcMar>
          </w:tcPr>
          <w:p>
            <w:r>
              <w:rPr>
                <w:sz w:val="20"/>
                <w:szCs w:val="20"/>
              </w:rPr>
              <w:t xml:space="preserve">+0.2089</w:t>
            </w:r>
          </w:p>
        </w:tc>
        <w:tc>
          <w:tcPr>
            <w:tcW w:type="dxa" w:w="1805"/>
            <w:tcMar>
              <w:top w:type="dxa" w:w="80"/>
              <w:left w:type="dxa" w:w="100"/>
              <w:bottom w:type="dxa" w:w="80"/>
              <w:right w:type="dxa" w:w="100"/>
            </w:tcMar>
          </w:tcPr>
          <w:p>
            <w:r>
              <w:rPr>
                <w:sz w:val="20"/>
                <w:szCs w:val="20"/>
              </w:rPr>
              <w:t xml:space="preserve">[0.1490, 0.2737]</w:t>
            </w:r>
          </w:p>
        </w:tc>
        <w:tc>
          <w:tcPr>
            <w:tcW w:type="dxa" w:w="1805"/>
            <w:tcMar>
              <w:top w:type="dxa" w:w="80"/>
              <w:left w:type="dxa" w:w="100"/>
              <w:bottom w:type="dxa" w:w="80"/>
              <w:right w:type="dxa" w:w="100"/>
            </w:tcMar>
          </w:tcPr>
          <w:p>
            <w:r>
              <w:rPr>
                <w:sz w:val="20"/>
                <w:szCs w:val="20"/>
              </w:rPr>
              <w:t xml:space="preserve">≈0.0000</w:t>
            </w:r>
          </w:p>
        </w:tc>
        <w:tc>
          <w:tcPr>
            <w:tcW w:type="dxa" w:w="1805"/>
            <w:tcMar>
              <w:top w:type="dxa" w:w="80"/>
              <w:left w:type="dxa" w:w="100"/>
              <w:bottom w:type="dxa" w:w="80"/>
              <w:right w:type="dxa" w:w="100"/>
            </w:tcMar>
          </w:tcPr>
          <w:p>
            <w:r>
              <w:rPr>
                <w:sz w:val="20"/>
                <w:szCs w:val="20"/>
              </w:rPr>
              <w:t xml:space="preserve">Significant</w:t>
            </w:r>
          </w:p>
        </w:tc>
      </w:tr>
    </w:tbl>
    <w:p>
      <w:pPr>
        <w:spacing w:after="120"/>
      </w:pPr>
    </w:p>
    <w:p>
      <w:pPr>
        <w:spacing w:after="160"/>
        <w:jc w:val="both"/>
      </w:pPr>
      <w:r>
        <w:t xml:space="preserve">Both pairs are significant now, but that is not what this exact test found the first time it ran. An earlier pass through the image comparison, at a quarter of this sample size (n=250 per final split), measured a similarly-shaped gap (+0.0518 AUC) and reported it as </w:t>
      </w:r>
      <w:r>
        <w:rPr>
          <w:b/>
          <w:bCs/>
        </w:rPr>
        <w:t xml:space="preserve">not significant</w:t>
      </w:r>
      <w:r>
        <w:t xml:space="preserve"> — 95% CI [−0.0412, 0.1535], which included zero. Nothing about the streams changed between that run and this one; only the sample size did. This is the single most important idea in this section, worth stating plainly: </w:t>
      </w:r>
      <w:r>
        <w:rPr>
          <w:b/>
          <w:bCs/>
        </w:rPr>
        <w:t xml:space="preserve">"not statistically significant" does not mean "the streams perform identically."</w:t>
      </w:r>
      <w:r>
        <w:t xml:space="preserve"> It means the sample size was not large enough to distinguish the observed gap from zero with confidence. The true gap can be real and simply too small to detect reliably at a given sample size (a distinct problem called low statistical power) — and re-running at a larger sample size, as this project did, is exactly how you tell the difference between "no real gap" and "not enough data yet."</w:t>
      </w:r>
    </w:p>
    <w:p>
      <w:pPr>
        <w:pStyle w:val="Heading2"/>
        <w:spacing w:after="150" w:before="300"/>
      </w:pPr>
      <w:r>
        <w:t xml:space="preserve">19. Is the Fusion Weight Itself Stable? A Second, Different Bootstrap Question</w:t>
      </w:r>
    </w:p>
    <w:p>
      <w:pPr>
        <w:spacing w:after="160"/>
        <w:jc w:val="both"/>
      </w:pPr>
      <w:r>
        <w:t xml:space="preserve">Section 18's test answers "is the AUC gap real?" A related but genuinely distinct question is: "if the validation split had happened to contain a slightly different draw of clips, would the *fusion weight* derived from it have come out noticeably different?" This is not a question about whether a headline AUC number is real — it is a question about whether the specific 62.4%/37.6% (or 74.3%/25.7%, for audio) weight split reported to a user should be read as a precise, settled ratio, or as one plausible draw from a range of similarly-likely outcomes.</w:t>
      </w:r>
    </w:p>
    <w:p>
      <w:pPr>
        <w:spacing w:after="160"/>
        <w:jc w:val="both"/>
      </w:pPr>
      <w:r>
        <w:t xml:space="preserve">The </w:t>
      </w:r>
      <w:r>
        <w:rPr>
          <w:b/>
          <w:bCs/>
        </w:rPr>
        <w:t xml:space="preserve">weight-stability bootstrap</w:t>
      </w:r>
      <w:r>
        <w:t xml:space="preserve"> answers this by resampling the weight-validation split 500 times (with the same with-replacement, paired-across-streams logic as before) and, on *each* resample, running the *entire* weight-derivation procedure from Section 13 again — computing each stream's AUC on that resample, then deriving fusion weights from it exactly as the real harness does. Across 500 resamples this produces 500 slightly different weight splits; VeriFrame reports the median and the middle 80% of that spread (the 10th to 90th percentile, "p10–p90") for each stream.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3FB" w:val="clear"/>
            <w:tcMar>
              <w:top w:type="dxa" w:w="160"/>
              <w:left w:type="dxa" w:w="200"/>
              <w:bottom w:type="dxa" w:w="160"/>
              <w:right w:type="dxa" w:w="200"/>
            </w:tcMar>
          </w:tcPr>
          <w:p>
            <w:pPr>
              <w:spacing w:after="80"/>
            </w:pPr>
            <w:r>
              <w:rPr>
                <w:b/>
                <w:bCs/>
              </w:rPr>
              <w:t xml:space="preserve">Sample size changed the answer here too</w:t>
            </w:r>
          </w:p>
          <w:p>
            <w:r>
              <w:t xml:space="preserve">At the current, larger sample sizes, both modalities show non-overlapping weight ranges: for images, spatial's weight ranges p10–p90 from 0.556 to 0.686 and frequency's from 0.314 to 0.444 — no overlap, a stable, settled split. For audio, audio's weight ranges 0.694–0.804 and audio-frequency's 0.196–0.306 — also no overlap. This lines up with the significance-test verdicts in Section 18 for both pairs now. It was not always this way: an earlier, smaller image run showed spatial ranging 0.42–0.78 and frequency 0.22–0.58 — wide, heavily overlapping ranges that meant the near-even split reported at that sample size should not have been read as settled. Two independently-designed statistical checks moving together as sample size changed is itself evidence that both are measuring something real, not an artifact of either check's specific construction.</w:t>
            </w:r>
          </w:p>
        </w:tc>
      </w:tr>
    </w:tbl>
    <w:p>
      <w:pPr>
        <w:spacing w:after="160"/>
        <w:jc w:val="both"/>
      </w:pPr>
      <w:r>
        <w:t xml:space="preserve">One design choice worth explaining, since it is easy to assume the "obvious" alternative would have been simpler: this stability check deliberately does </w:t>
      </w:r>
      <w:r>
        <w:rPr>
          <w:b/>
          <w:bCs/>
        </w:rPr>
        <w:t xml:space="preserve">not</w:t>
      </w:r>
      <w:r>
        <w:t xml:space="preserve"> re-run the whole evaluation harness at a different random seed to see if the numbers change. Re-running at a new seed would also change *which clips get successfully scored at all* — network failures during data download, different clips excluded for technical reasons, a different corpus draw order — conflating that unrelated noise with the one specific thing this bootstrap is designed to isolate: sampling variance in which *already-scored* validation clips a particular draw happens to contain. Isolating one source of uncertainty at a time, rather than mixing several together into one number, is a recurring theme in how this project approaches statistical claims.</w:t>
      </w:r>
    </w:p>
    <w:p>
      <w:pPr>
        <w:spacing w:after="120"/>
      </w:pPr>
    </w:p>
    <w:p>
      <w:r>
        <w:br w:type="page"/>
      </w:r>
    </w:p>
    <w:p>
      <w:pPr>
        <w:pStyle w:val="Heading1"/>
        <w:spacing w:after="200" w:before="400"/>
      </w:pPr>
      <w:r>
        <w:t xml:space="preserve">Part V — Systems and Privacy Engineering</w:t>
      </w:r>
    </w:p>
    <w:p>
      <w:pPr>
        <w:spacing w:after="160"/>
        <w:jc w:val="both"/>
      </w:pPr>
      <w:r>
        <w:t xml:space="preserve">A detection system that works in a lab notebook is not the same thing as a service real people can safely use. This part covers the pieces of VeriFrame that exist specifically because the product has to be misuse-resistant and privacy-respecting, not just accurate.</w:t>
      </w:r>
    </w:p>
    <w:p>
      <w:pPr>
        <w:pStyle w:val="Heading2"/>
        <w:spacing w:after="150" w:before="300"/>
      </w:pPr>
      <w:r>
        <w:t xml:space="preserve">20. Rate Limiting: The Fixed-Window Counter</w:t>
      </w:r>
    </w:p>
    <w:p>
      <w:pPr>
        <w:spacing w:after="160"/>
        <w:jc w:val="both"/>
      </w:pPr>
      <w:r>
        <w:t xml:space="preserve">Every request VeriFrame's public API and web app receive is rate-limited using a </w:t>
      </w:r>
      <w:r>
        <w:rPr>
          <w:b/>
          <w:bCs/>
        </w:rPr>
        <w:t xml:space="preserve">fixed-window counter</w:t>
      </w:r>
      <w:r>
        <w:t xml:space="preserve">, implemented in Redis (an in-memory data store built for exactly this kind of fast, ephemeral counting). The idea: for a given identifier (a user account, or an IP address for unauthenticated endpoints) and a given time window (say, 60 seconds), increment a counter each time a request arrives; the counter is set to automatically expire after the window elapses. If the counter exceeds the configured limit before it expires, the request is rejected. The web app allows 10 analyses per minute per signed-in account; the public API allows 20 analyses and 60 hash lookups per minute per IP address.</w:t>
      </w:r>
    </w:p>
    <w:p>
      <w:pPr>
        <w:spacing w:after="160"/>
        <w:jc w:val="both"/>
      </w:pPr>
      <w:r>
        <w:t xml:space="preserve">Rate limiting alone catches one caller hammering the service. It does not catch a *pattern spread across many different callers* — for instance, many different people each individually checking the same specific piece of content, one request at a time, well within any single caller's limit. VeriFrame separately logs (never blocks) when the same perceptual hash (Section 21) is looked up unusually often within an hour, as a signal an operator can review — directly motivated by a real ethical concern named explicitly in the project's own guardrails: a synthetic-media detector can itself be misused to harass someone by repeatedly "proving" their genuine content is fake.</w:t>
      </w:r>
    </w:p>
    <w:p>
      <w:pPr>
        <w:pStyle w:val="Heading2"/>
        <w:spacing w:after="150" w:before="300"/>
      </w:pPr>
      <w:r>
        <w:t xml:space="preserve">21. Perceptual Hashing and the BK-Tree</w:t>
      </w:r>
    </w:p>
    <w:p>
      <w:pPr>
        <w:spacing w:after="160"/>
        <w:jc w:val="both"/>
      </w:pPr>
      <w:r>
        <w:t xml:space="preserve">A </w:t>
      </w:r>
      <w:r>
        <w:rPr>
          <w:b/>
          <w:bCs/>
        </w:rPr>
        <w:t xml:space="preserve">cryptographic hash</w:t>
      </w:r>
      <w:r>
        <w:t xml:space="preserve"> (like SHA-256) is designed so that changing even one bit of the input produces a completely different, unpredictable output — perfect for verifying a file has not been tampered with, useless for recognizing "this is basically the same image, just re-saved." A </w:t>
      </w:r>
      <w:r>
        <w:rPr>
          <w:b/>
          <w:bCs/>
        </w:rPr>
        <w:t xml:space="preserve">perceptual hash (pHash)</w:t>
      </w:r>
      <w:r>
        <w:t xml:space="preserve">, by contrast, is designed so that visually similar images produce similar hash values — small edits, recompression, or minor rescaling change the hash only slightly, measured by </w:t>
      </w:r>
      <w:r>
        <w:rPr>
          <w:b/>
          <w:bCs/>
        </w:rPr>
        <w:t xml:space="preserve">Hamming distance</w:t>
      </w:r>
      <w:r>
        <w:t xml:space="preserve"> (how many individual bits differ between two hashes of the same length).</w:t>
      </w:r>
    </w:p>
    <w:p>
      <w:pPr>
        <w:spacing w:after="160"/>
        <w:jc w:val="both"/>
      </w:pPr>
      <w:r>
        <w:t xml:space="preserve">VeriFrame computes a perceptual hash of every analyzed file and caches results keyed by it, so a repeat check of essentially the same content — even a re-compressed or resized copy — can return a cached result rather than re-running expensive model inference. Finding "is there a cached hash within Hamming distance N of this new hash?" efficiently, rather than comparing against every cached hash one at a time, is exactly the problem a </w:t>
      </w:r>
      <w:r>
        <w:rPr>
          <w:b/>
          <w:bCs/>
        </w:rPr>
        <w:t xml:space="preserve">BK-tree</w:t>
      </w:r>
      <w:r>
        <w:t xml:space="preserve"> (Burkhard–Keller tree, a data structure from 1973) solves: a tree structure built specifically for nearest-neighbor search under a metric like Hamming distance, letting a lookup skip large portions of the cache that are provably too far away to match, rather than checking every entry.</w:t>
      </w:r>
    </w:p>
    <w:p>
      <w:pPr>
        <w:pStyle w:val="Heading2"/>
        <w:spacing w:after="150" w:before="300"/>
      </w:pPr>
      <w:r>
        <w:t xml:space="preserve">22. Privacy by Design: Retention, Deletion, and Data Minimization</w:t>
      </w:r>
    </w:p>
    <w:p>
      <w:pPr>
        <w:spacing w:after="160"/>
        <w:jc w:val="both"/>
      </w:pPr>
      <w:r>
        <w:t xml:space="preserve">VeriFrame never runs unattended background scanning — every analysis is a specific, explicit action by a user on a specific piece of content, and consent to upload is checked on the server before storage, not only shown as a checkbox in the interface (a deliberate design choice, verified by a test asserting the consent check runs before the file is ever written to storage). Uploaded media is automatically deleted 24 hours after upload by an automated sweep that runs on a fixed schedule, distinct from an immediate, user-triggered deletion path that removes the media, its database row, and its perceptual hash all at once. Automatic expiry keeps only the report and the perceptual hash (enabling the caching described in Section 21 for a repeat check of the same content) — no raw media survives either path. This retention model is stated explicitly in </w:t>
      </w:r>
      <w:r>
        <w:rPr>
          <w:rFonts w:ascii="Consolas" w:cs="Consolas" w:eastAsia="Consolas" w:hAnsi="Consolas"/>
          <w:sz w:val="20"/>
          <w:szCs w:val="20"/>
        </w:rPr>
        <w:t xml:space="preserve">apps/web/src/app/privacy/page.tsx</w:t>
      </w:r>
      <w:r>
        <w:t xml:space="preserve">, and is designed to align with data-minimization and stated-retention-period requirements under India's Digital Personal Data Protection Act 2023 and the EU's GDPR.</w:t>
      </w:r>
    </w:p>
    <w:p>
      <w:pPr>
        <w:spacing w:after="120"/>
      </w:pPr>
    </w:p>
    <w:p>
      <w:r>
        <w:br w:type="page"/>
      </w:r>
    </w:p>
    <w:p>
      <w:pPr>
        <w:pStyle w:val="Heading1"/>
        <w:spacing w:after="200" w:before="400"/>
      </w:pPr>
      <w:r>
        <w:t xml:space="preserve">Part VI — Writing About This Project</w:t>
      </w:r>
    </w:p>
    <w:p>
      <w:pPr>
        <w:pStyle w:val="Heading2"/>
        <w:spacing w:after="150" w:before="300"/>
      </w:pPr>
      <w:r>
        <w:t xml:space="preserve">23. What Is Genuinely Novel Here — What You Can Honestly Claim</w:t>
      </w:r>
    </w:p>
    <w:p>
      <w:pPr>
        <w:spacing w:after="160"/>
        <w:jc w:val="both"/>
      </w:pPr>
      <w:r>
        <w:t xml:space="preserve">When you write your paper, be precise about which parts are original contributions and which parts are competent application of existing techniques — both are legitimate to describe, but only the former supports a novelty claim, and conflating them is the single most common way a first-time paper draws (fair) reviewer skepticism.</w:t>
      </w:r>
    </w:p>
    <w:p>
      <w:pPr>
        <w:pStyle w:val="ListParagraph"/>
        <w:numPr>
          <w:ilvl w:val="0"/>
          <w:numId w:val="2"/>
        </w:numPr>
        <w:spacing w:after="80"/>
      </w:pPr>
      <w:r>
        <w:rPr>
          <w:b/>
          <w:bCs/>
        </w:rPr>
        <w:t xml:space="preserve">Genuinely original, and the strongest thing to build a paper around:</w:t>
      </w:r>
      <w:r>
        <w:t xml:space="preserve"> the discovery that calibration-split AUC is a biased predictor of cross-dataset fusion weight, confirmed independently in two modalities, plus the validation-split fix and its measured effect (Sections 14–15). This is a real, reproducible, quantified methodological finding.</w:t>
      </w:r>
    </w:p>
    <w:p>
      <w:pPr>
        <w:pStyle w:val="ListParagraph"/>
        <w:numPr>
          <w:ilvl w:val="0"/>
          <w:numId w:val="2"/>
        </w:numPr>
        <w:spacing w:after="80"/>
      </w:pPr>
      <w:r>
        <w:rPr>
          <w:b/>
          <w:bCs/>
        </w:rPr>
        <w:t xml:space="preserve">Genuinely original, secondary contribution:</w:t>
      </w:r>
      <w:r>
        <w:t xml:space="preserve"> the harmonics-to-noise-ratio audio stream (Section 12), designed from a stated hypothesis rather than ported from a paper, including its honest negative-leaning cross-dataset result.</w:t>
      </w:r>
    </w:p>
    <w:p>
      <w:pPr>
        <w:pStyle w:val="ListParagraph"/>
        <w:numPr>
          <w:ilvl w:val="0"/>
          <w:numId w:val="2"/>
        </w:numPr>
        <w:spacing w:after="80"/>
      </w:pPr>
      <w:r>
        <w:rPr>
          <w:b/>
          <w:bCs/>
        </w:rPr>
        <w:t xml:space="preserve">Original engineering, not a research claim:</w:t>
      </w:r>
      <w:r>
        <w:t xml:space="preserve"> the BK-tree perceptual-hash cache (Section 21) and the rate-limiting/abuse-pattern design (Section 20) are solid systems contributions worth describing in a paper's system-architecture section, but do not claim them as novel *research* — BK-trees and fixed-window rate limiting are both well-established techniques; what is original is applying them together in this specific system.</w:t>
      </w:r>
    </w:p>
    <w:p>
      <w:pPr>
        <w:pStyle w:val="ListParagraph"/>
        <w:numPr>
          <w:ilvl w:val="0"/>
          <w:numId w:val="2"/>
        </w:numPr>
        <w:spacing w:after="80"/>
      </w:pPr>
      <w:r>
        <w:rPr>
          <w:b/>
          <w:bCs/>
        </w:rPr>
        <w:t xml:space="preserve">Competent application, not novelty:</w:t>
      </w:r>
      <w:r>
        <w:t xml:space="preserve"> using ViT, AASIST, MediaPipe, YuNet, or C2PA as-is is good engineering (correct model selection, correct license verification, correct integration) but is not a research contribution in itself — describe these as your system's architecture, not as things you invented.</w:t>
      </w:r>
    </w:p>
    <w:p>
      <w:pPr>
        <w:pStyle w:val="Heading2"/>
        <w:spacing w:after="150" w:before="300"/>
      </w:pPr>
      <w:r>
        <w:t xml:space="preserve">24. Common Pitfalls to Avoid</w:t>
      </w:r>
    </w:p>
    <w:p>
      <w:pPr>
        <w:pStyle w:val="ListParagraph"/>
        <w:numPr>
          <w:ilvl w:val="0"/>
          <w:numId w:val="3"/>
        </w:numPr>
        <w:spacing w:after="80"/>
      </w:pPr>
      <w:r>
        <w:rPr>
          <w:b/>
          <w:bCs/>
        </w:rPr>
        <w:t xml:space="preserve">Do not quote in-distribution numbers as your headline accuracy.</w:t>
      </w:r>
      <w:r>
        <w:t xml:space="preserve"> Section 5 explained why this is misleading; a reviewer familiar with the deepfake-detection literature will specifically look for whether you did cross-dataset evaluation, because overstated in-distribution numbers are a well-known, widely criticized pattern in this exact subfield.</w:t>
      </w:r>
    </w:p>
    <w:p>
      <w:pPr>
        <w:pStyle w:val="ListParagraph"/>
        <w:numPr>
          <w:ilvl w:val="0"/>
          <w:numId w:val="3"/>
        </w:numPr>
        <w:spacing w:after="80"/>
      </w:pPr>
      <w:r>
        <w:rPr>
          <w:b/>
          <w:bCs/>
        </w:rPr>
        <w:t xml:space="preserve">State your sample sizes plainly, in the same sentence as any accuracy number.</w:t>
      </w:r>
      <w:r>
        <w:t xml:space="preserve"> An AUC from 250 samples and an AUC from 25,000 samples carry very different amounts of evidence; hiding the smaller number's sample size from the reader (even unintentionally, by mentioning it only once, far from the number itself) reads as an attempt to borrow the credibility of a much larger study.</w:t>
      </w:r>
    </w:p>
    <w:p>
      <w:pPr>
        <w:pStyle w:val="ListParagraph"/>
        <w:numPr>
          <w:ilvl w:val="0"/>
          <w:numId w:val="3"/>
        </w:numPr>
        <w:spacing w:after="80"/>
      </w:pPr>
      <w:r>
        <w:rPr>
          <w:b/>
          <w:bCs/>
        </w:rPr>
        <w:t xml:space="preserve">Report bootstrap confidence intervals, not bare point estimates</w:t>
      </w:r>
      <w:r>
        <w:t xml:space="preserve">, for every headline metric — Section 17 explains why, and doing this is itself a mark of methodological seriousness reviewers notice.</w:t>
      </w:r>
    </w:p>
    <w:p>
      <w:pPr>
        <w:pStyle w:val="ListParagraph"/>
        <w:numPr>
          <w:ilvl w:val="0"/>
          <w:numId w:val="3"/>
        </w:numPr>
        <w:spacing w:after="80"/>
      </w:pPr>
      <w:r>
        <w:rPr>
          <w:b/>
          <w:bCs/>
        </w:rPr>
        <w:t xml:space="preserve">Do not claim your fix "solved" the problem if it only reduced it — and do not assume the size of the reduction is a fixed constant either.</w:t>
      </w:r>
      <w:r>
        <w:t xml:space="preserve"> The audio fusion gap shrank from −0.0294 to −0.0064 in an early, smaller run and from −0.0294 to −0.0240 in a later, larger one — it did not reach zero either time, and the exact amount of the reduction moved with sample size. Say exactly that: "reduced, not eliminated, and the residual amount is itself subject to sampling variance," which is more credible than either an overreaching "fixed" claim or a single reduction percentage quoted as if it were a settled constant.</w:t>
      </w:r>
    </w:p>
    <w:p>
      <w:pPr>
        <w:pStyle w:val="ListParagraph"/>
        <w:numPr>
          <w:ilvl w:val="0"/>
          <w:numId w:val="3"/>
        </w:numPr>
        <w:spacing w:after="80"/>
      </w:pPr>
      <w:r>
        <w:rPr>
          <w:b/>
          <w:bCs/>
        </w:rPr>
        <w:t xml:space="preserve">Distinguish "not statistically significant" from "proven equal"</w:t>
      </w:r>
      <w:r>
        <w:t xml:space="preserve"> (Section 18) every time you use the phrase — this specific misinterpretation is common enough in submitted papers that reviewers are primed to catch it.</w:t>
      </w:r>
    </w:p>
    <w:p>
      <w:pPr>
        <w:pStyle w:val="ListParagraph"/>
        <w:numPr>
          <w:ilvl w:val="0"/>
          <w:numId w:val="3"/>
        </w:numPr>
        <w:spacing w:after="80"/>
      </w:pPr>
      <w:r>
        <w:rPr>
          <w:b/>
          <w:bCs/>
        </w:rPr>
        <w:t xml:space="preserve">Do not present rejected licensing candidates or negative findings as failures to hide.</w:t>
      </w:r>
      <w:r>
        <w:t xml:space="preserve"> </w:t>
      </w:r>
      <w:r>
        <w:rPr>
          <w:rFonts w:ascii="Consolas" w:cs="Consolas" w:eastAsia="Consolas" w:hAnsi="Consolas"/>
          <w:sz w:val="20"/>
          <w:szCs w:val="20"/>
        </w:rPr>
        <w:t xml:space="preserve">LICENSES.md</w:t>
      </w:r>
      <w:r>
        <w:t xml:space="preserve">'s list of rejected models and </w:t>
      </w:r>
      <w:r>
        <w:rPr>
          <w:rFonts w:ascii="Consolas" w:cs="Consolas" w:eastAsia="Consolas" w:hAnsi="Consolas"/>
          <w:sz w:val="20"/>
          <w:szCs w:val="20"/>
        </w:rPr>
        <w:t xml:space="preserve">DECISIONS.md</w:t>
      </w:r>
      <w:r>
        <w:t xml:space="preserve">'s log of corrected mistakes (a wrong AI-generated license claim, an inverted classifier bug caught by the evaluation harness itself) are evidence of a careful process, and are worth citing in a paper's methodology or limitations section as exactly that.</w:t>
      </w:r>
    </w:p>
    <w:p>
      <w:pPr>
        <w:pStyle w:val="Heading2"/>
        <w:spacing w:after="150" w:before="300"/>
      </w:pPr>
      <w:r>
        <w:t xml:space="preserve">25. How This Guide Maps to the Accompanying IEEE Paper Draft</w:t>
      </w:r>
    </w:p>
    <w:p>
      <w:pPr>
        <w:spacing w:after="160"/>
        <w:jc w:val="both"/>
      </w:pPr>
      <w:r>
        <w:t xml:space="preserve">The paper draft delivered alongside this guide focuses tightly on the strongest contribution identified in Section 23 — the cross-dataset validation-split fix for fusion-weight derivation — rather than trying to claim the whole system as one contribution. Its section structure and the guide sections that explain the underlying concepts line up as follows:</w:t>
      </w:r>
    </w:p>
    <w:p>
      <w:pPr>
        <w:pStyle w:val="ListParagraph"/>
        <w:numPr>
          <w:ilvl w:val="0"/>
          <w:numId w:val="2"/>
        </w:numPr>
        <w:spacing w:after="80"/>
      </w:pPr>
      <w:r>
        <w:t xml:space="preserve">Paper §I Introduction ↔ Guide §1, §5 (why detection is hard; why cross-dataset evaluation is the whole point)</w:t>
      </w:r>
    </w:p>
    <w:p>
      <w:pPr>
        <w:pStyle w:val="ListParagraph"/>
        <w:numPr>
          <w:ilvl w:val="0"/>
          <w:numId w:val="2"/>
        </w:numPr>
        <w:spacing w:after="80"/>
      </w:pPr>
      <w:r>
        <w:t xml:space="preserve">Paper §II Related Work ↔ Guide §6, §11 (the specific prior models the system builds on)</w:t>
      </w:r>
    </w:p>
    <w:p>
      <w:pPr>
        <w:pStyle w:val="ListParagraph"/>
        <w:numPr>
          <w:ilvl w:val="0"/>
          <w:numId w:val="2"/>
        </w:numPr>
        <w:spacing w:after="80"/>
      </w:pPr>
      <w:r>
        <w:t xml:space="preserve">Paper §III System Architecture ↔ Guide Part II in full</w:t>
      </w:r>
    </w:p>
    <w:p>
      <w:pPr>
        <w:pStyle w:val="ListParagraph"/>
        <w:numPr>
          <w:ilvl w:val="0"/>
          <w:numId w:val="2"/>
        </w:numPr>
        <w:spacing w:after="80"/>
      </w:pPr>
      <w:r>
        <w:t xml:space="preserve">Paper §IV Methodology (the finding and the fix) ↔ Guide §13–§15</w:t>
      </w:r>
    </w:p>
    <w:p>
      <w:pPr>
        <w:pStyle w:val="ListParagraph"/>
        <w:numPr>
          <w:ilvl w:val="0"/>
          <w:numId w:val="2"/>
        </w:numPr>
        <w:spacing w:after="80"/>
      </w:pPr>
      <w:r>
        <w:t xml:space="preserve">Paper §V Experimental Setup ↔ Guide §5 (protocol) and §17 (bootstrap CIs)</w:t>
      </w:r>
    </w:p>
    <w:p>
      <w:pPr>
        <w:pStyle w:val="ListParagraph"/>
        <w:numPr>
          <w:ilvl w:val="0"/>
          <w:numId w:val="2"/>
        </w:numPr>
        <w:spacing w:after="80"/>
      </w:pPr>
      <w:r>
        <w:t xml:space="preserve">Paper §VI Results ↔ Guide §14–§16, with the exact same numbers</w:t>
      </w:r>
    </w:p>
    <w:p>
      <w:pPr>
        <w:pStyle w:val="ListParagraph"/>
        <w:numPr>
          <w:ilvl w:val="0"/>
          <w:numId w:val="2"/>
        </w:numPr>
        <w:spacing w:after="80"/>
      </w:pPr>
      <w:r>
        <w:t xml:space="preserve">Paper §VII Statistical Validation ↔ Guide §18–§19 in full</w:t>
      </w:r>
    </w:p>
    <w:p>
      <w:pPr>
        <w:pStyle w:val="ListParagraph"/>
        <w:numPr>
          <w:ilvl w:val="0"/>
          <w:numId w:val="2"/>
        </w:numPr>
        <w:spacing w:after="80"/>
      </w:pPr>
      <w:r>
        <w:t xml:space="preserve">Paper §VIII Limitations ↔ Guide §5, §14 caveats, and §24's pitfalls, turned into explicit stated limitations</w:t>
      </w:r>
    </w:p>
    <w:p>
      <w:pPr>
        <w:spacing w:after="160"/>
        <w:jc w:val="both"/>
      </w:pPr>
      <w:r>
        <w:t xml:space="preserve">If a reader — a supervisor, a reviewer, or your future self months from now — asks "why did you do it this way" about any specific choice in the paper, the answer should be traceable back to a section in this guide, and from there back to a real file in the project repository (</w:t>
      </w:r>
      <w:r>
        <w:rPr>
          <w:rFonts w:ascii="Consolas" w:cs="Consolas" w:eastAsia="Consolas" w:hAnsi="Consolas"/>
          <w:sz w:val="20"/>
          <w:szCs w:val="20"/>
        </w:rPr>
        <w:t xml:space="preserve">DECISIONS.md</w:t>
      </w:r>
      <w:r>
        <w:t xml:space="preserve"> above all, which is the project's own chronological log of exactly these choices and their reasoning). That traceability, all the way from a paper's claim down to a line of code or a row in a data file, is the thing this whole project has tried hardest to get right — and it is the single strongest thing you have to point to when someone asks whether your results are real.</w:t>
      </w:r>
    </w:p>
    <w:p>
      <w:pPr>
        <w:spacing w:after="120"/>
      </w:pPr>
    </w:p>
    <w:p>
      <w:pPr>
        <w:pStyle w:val="Heading1"/>
        <w:spacing w:after="200" w:before="400"/>
      </w:pPr>
      <w:r>
        <w:t xml:space="preserve">References</w:t>
      </w:r>
    </w:p>
    <w:p>
      <w:pPr>
        <w:spacing w:after="160"/>
        <w:jc w:val="both"/>
      </w:pPr>
      <w:r>
        <w:t xml:space="preserve">Every citation below was checked against a primary source (the paper's own arXiv listing, publisher page, or official specification site) at the time this document was prepared, not taken from memory. </w:t>
      </w:r>
      <w:r>
        <w:rPr>
          <w:b/>
          <w:bCs/>
        </w:rPr>
        <w:t xml:space="preserve">Before submitting anywhere, re-verify each entry yourself against the publisher's own page</w:t>
      </w:r>
      <w:r>
        <w:t xml:space="preserve"> — venues occasionally update final page numbers or DOIs after a preprint's initial posting, and a paper you actually submit should reflect the final published version wherever one exists.</w:t>
      </w:r>
    </w:p>
    <w:p>
      <w:pPr>
        <w:spacing w:after="120"/>
      </w:pPr>
    </w:p>
    <w:p>
      <w:pPr>
        <w:spacing w:after="120"/>
        <w:ind w:left="360" w:hanging="360"/>
      </w:pPr>
      <w:r>
        <w:t xml:space="preserve">[1] </w:t>
      </w:r>
      <w:r>
        <w:t xml:space="preserve">J. W. Jung, H. S. Heo, H. Tak, H. J. Shim, J. S. Chung, B. J. Lee, H. J. Yu, and N. Evans, "AASIST: Audio anti-spoofing using integrated spectro-temporal graph attention networks," in Proc. IEEE Int. Conf. Acoustics, Speech and Signal Processing (ICASSP), 2022. arXiv:2110.01200.</w:t>
      </w:r>
    </w:p>
    <w:p>
      <w:pPr>
        <w:spacing w:after="120"/>
        <w:ind w:left="360" w:hanging="360"/>
      </w:pPr>
      <w:r>
        <w:t xml:space="preserve">[2] </w:t>
      </w:r>
      <w:r>
        <w:t xml:space="preserve">H. Delgado, N. Evans, T. Kinnunen, K. A. Lee, X. Liu, A. Nautsch, J. Patino, M. Sahidullah, M. Todisco, X. Wang, and J. Yamagishi, "ASVspoof 2021: Towards spoofed and deepfake speech detection in the wild," arXiv:2210.02437, 2022.</w:t>
      </w:r>
    </w:p>
    <w:p>
      <w:pPr>
        <w:spacing w:after="120"/>
        <w:ind w:left="360" w:hanging="360"/>
      </w:pPr>
      <w:r>
        <w:t xml:space="preserve">[3] </w:t>
      </w:r>
      <w:r>
        <w:t xml:space="preserve">X. Wang, J. Yamagishi, M. Todisco, H. Delgado, A. Nautsch, N. Evans, M. Sahidullah, V. Vestman, T. Kinnunen, K. A. Lee, et al., "ASVspoof 2019: A large-scale public database of synthesized, converted and replayed speech," Computer Speech &amp; Language, vol. 64, p. 101114, 2020.</w:t>
      </w:r>
    </w:p>
    <w:p>
      <w:pPr>
        <w:spacing w:after="120"/>
        <w:ind w:left="360" w:hanging="360"/>
      </w:pPr>
      <w:r>
        <w:t xml:space="preserve">[4] </w:t>
      </w:r>
      <w:r>
        <w:t xml:space="preserve">A. Dosovitskiy, L. Beyer, A. Kolesnikov, D. Weissenborn, X. Zhai, T. Unterthiner, M. Dehghani, M. Minderer, G. Heigold, S. Gelly, et al., "An image is worth 16x16 words: Transformers for image recognition at scale," arXiv:2010.11929, 2020.</w:t>
      </w:r>
    </w:p>
    <w:p>
      <w:pPr>
        <w:spacing w:after="120"/>
        <w:ind w:left="360" w:hanging="360"/>
      </w:pPr>
      <w:r>
        <w:t xml:space="preserve">[5] </w:t>
      </w:r>
      <w:r>
        <w:t xml:space="preserve">Z. Yan et al., "DF40: Toward next-generation deepfake detection," in Proc. Advances in Neural Information Processing Systems (NeurIPS), Datasets and Benchmarks Track, 2024. arXiv:2406.13495.</w:t>
      </w:r>
    </w:p>
    <w:p>
      <w:pPr>
        <w:spacing w:after="120"/>
        <w:ind w:left="360" w:hanging="360"/>
      </w:pPr>
      <w:r>
        <w:t xml:space="preserve">[6] </w:t>
      </w:r>
      <w:r>
        <w:t xml:space="preserve">C. Lugaresi, J. Tang, H. Nash, C. McClanahan, E. Uboweja, M. Hays, F. Zhang, C.-L. Chang, M. G. Yong, J. Lee, W.-T. Chang, W. Hua, M. Georg, and M. Grundmann, "MediaPipe: A framework for building perception pipelines," arXiv:1906.08172, 2019.</w:t>
      </w:r>
    </w:p>
    <w:p>
      <w:pPr>
        <w:spacing w:after="120"/>
        <w:ind w:left="360" w:hanging="360"/>
      </w:pPr>
      <w:r>
        <w:t xml:space="preserve">[7] </w:t>
      </w:r>
      <w:r>
        <w:t xml:space="preserve">R. R. Selvaraju, M. Cogswell, A. Das, R. Vedantam, D. Parikh, and D. Batra, "Grad-CAM: Visual explanations from deep networks via gradient-based localization," in Proc. IEEE Int. Conf. Computer Vision (ICCV), 2017, pp. 618-626.</w:t>
      </w:r>
    </w:p>
    <w:p>
      <w:pPr>
        <w:spacing w:after="120"/>
        <w:ind w:left="360" w:hanging="360"/>
      </w:pPr>
      <w:r>
        <w:t xml:space="preserve">[8] </w:t>
      </w:r>
      <w:r>
        <w:t xml:space="preserve">Coalition for Content Provenance and Authenticity (C2PA), "C2PA Technical Specification." [Online]. Available: https://spec.c2pa.org/</w:t>
      </w:r>
    </w:p>
    <w:p>
      <w:pPr>
        <w:spacing w:after="120"/>
        <w:ind w:left="360" w:hanging="360"/>
      </w:pPr>
      <w:r>
        <w:t xml:space="preserve">[9] </w:t>
      </w:r>
      <w:r>
        <w:t xml:space="preserve">C. Guo, G. Pleiss, Y. Sun, and K. Q. Weinberger, "On calibration of modern neural networks," in Proc. Int. Conf. Machine Learning (ICML), 2017, pp. 1321-1330.</w:t>
      </w:r>
    </w:p>
    <w:p>
      <w:pPr>
        <w:spacing w:after="120"/>
        <w:ind w:left="360" w:hanging="360"/>
      </w:pPr>
      <w:r>
        <w:t xml:space="preserve">[10] </w:t>
      </w:r>
      <w:r>
        <w:t xml:space="preserve">B. Efron, "Bootstrap methods: Another look at the jackknife," The Annals of Statistics, vol. 7, no. 1, pp. 1-26, 1979.</w:t>
      </w:r>
    </w:p>
    <w:p>
      <w:pPr>
        <w:spacing w:after="120"/>
      </w:pPr>
    </w:p>
    <w:p>
      <w:r>
        <w:br w:type="page"/>
      </w:r>
    </w:p>
    <w:p>
      <w:pPr>
        <w:pStyle w:val="Heading1"/>
        <w:spacing w:after="200" w:before="400"/>
      </w:pPr>
      <w:r>
        <w:t xml:space="preserve">Glossary</w:t>
      </w:r>
    </w:p>
    <w:p>
      <w:pPr>
        <w:spacing w:after="160"/>
        <w:jc w:val="both"/>
      </w:pPr>
      <w:r>
        <w:t xml:space="preserve">A quick-reference table of every technical term used in this guide. Each entry's "see" pointer refers to the guide section with the full explanation.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E2F3" w:val="clear"/>
            <w:tcMar>
              <w:top w:type="dxa" w:w="80"/>
              <w:left w:type="dxa" w:w="100"/>
              <w:bottom w:type="dxa" w:w="80"/>
              <w:right w:type="dxa" w:w="100"/>
            </w:tcMar>
          </w:tcPr>
          <w:p>
            <w:r>
              <w:rPr>
                <w:b/>
                <w:bCs/>
                <w:sz w:val="20"/>
                <w:szCs w:val="20"/>
              </w:rPr>
              <w:t xml:space="preserve">Term</w:t>
            </w:r>
          </w:p>
        </w:tc>
        <w:tc>
          <w:tcPr>
            <w:tcW w:type="dxa" w:w="6626"/>
            <w:shd w:fill="D9E2F3" w:val="clear"/>
            <w:tcMar>
              <w:top w:type="dxa" w:w="80"/>
              <w:left w:type="dxa" w:w="100"/>
              <w:bottom w:type="dxa" w:w="80"/>
              <w:right w:type="dxa" w:w="100"/>
            </w:tcMar>
          </w:tcPr>
          <w:p>
            <w:r>
              <w:rPr>
                <w:b/>
                <w:bCs/>
                <w:sz w:val="20"/>
                <w:szCs w:val="20"/>
              </w:rPr>
              <w:t xml:space="preserve">Definition</w:t>
            </w:r>
          </w:p>
        </w:tc>
      </w:tr>
      <w:tr>
        <w:tc>
          <w:tcPr>
            <w:tcW w:type="dxa" w:w="2400"/>
            <w:tcMar>
              <w:top w:type="dxa" w:w="80"/>
              <w:left w:type="dxa" w:w="100"/>
              <w:bottom w:type="dxa" w:w="80"/>
              <w:right w:type="dxa" w:w="100"/>
            </w:tcMar>
          </w:tcPr>
          <w:p>
            <w:r>
              <w:rPr>
                <w:sz w:val="20"/>
                <w:szCs w:val="20"/>
              </w:rPr>
              <w:t xml:space="preserve">AUC</w:t>
            </w:r>
          </w:p>
        </w:tc>
        <w:tc>
          <w:tcPr>
            <w:tcW w:type="dxa" w:w="6626"/>
            <w:tcMar>
              <w:top w:type="dxa" w:w="80"/>
              <w:left w:type="dxa" w:w="100"/>
              <w:bottom w:type="dxa" w:w="80"/>
              <w:right w:type="dxa" w:w="100"/>
            </w:tcMar>
          </w:tcPr>
          <w:p>
            <w:r>
              <w:rPr>
                <w:sz w:val="20"/>
                <w:szCs w:val="20"/>
              </w:rPr>
              <w:t xml:space="preserve">Area Under the ROC Curve; probability a classifier scores a random positive example higher than a random negative one. 0.5 = chance, 1.0 = perfect.</w:t>
            </w:r>
          </w:p>
        </w:tc>
      </w:tr>
      <w:tr>
        <w:tc>
          <w:tcPr>
            <w:tcW w:type="dxa" w:w="2400"/>
            <w:tcMar>
              <w:top w:type="dxa" w:w="80"/>
              <w:left w:type="dxa" w:w="100"/>
              <w:bottom w:type="dxa" w:w="80"/>
              <w:right w:type="dxa" w:w="100"/>
            </w:tcMar>
          </w:tcPr>
          <w:p>
            <w:r>
              <w:rPr>
                <w:sz w:val="20"/>
                <w:szCs w:val="20"/>
              </w:rPr>
              <w:t xml:space="preserve">Bootstrap</w:t>
            </w:r>
          </w:p>
        </w:tc>
        <w:tc>
          <w:tcPr>
            <w:tcW w:type="dxa" w:w="6626"/>
            <w:tcMar>
              <w:top w:type="dxa" w:w="80"/>
              <w:left w:type="dxa" w:w="100"/>
              <w:bottom w:type="dxa" w:w="80"/>
              <w:right w:type="dxa" w:w="100"/>
            </w:tcMar>
          </w:tcPr>
          <w:p>
            <w:r>
              <w:rPr>
                <w:sz w:val="20"/>
                <w:szCs w:val="20"/>
              </w:rPr>
              <w:t xml:space="preserve">Resampling a dataset with replacement, many times, to estimate how much a statistic (AUC, a weight, a difference) would vary on a fresh sample — see Guide §17.</w:t>
            </w:r>
          </w:p>
        </w:tc>
      </w:tr>
      <w:tr>
        <w:tc>
          <w:tcPr>
            <w:tcW w:type="dxa" w:w="2400"/>
            <w:tcMar>
              <w:top w:type="dxa" w:w="80"/>
              <w:left w:type="dxa" w:w="100"/>
              <w:bottom w:type="dxa" w:w="80"/>
              <w:right w:type="dxa" w:w="100"/>
            </w:tcMar>
          </w:tcPr>
          <w:p>
            <w:r>
              <w:rPr>
                <w:sz w:val="20"/>
                <w:szCs w:val="20"/>
              </w:rPr>
              <w:t xml:space="preserve">Calibration (of a model)</w:t>
            </w:r>
          </w:p>
        </w:tc>
        <w:tc>
          <w:tcPr>
            <w:tcW w:type="dxa" w:w="6626"/>
            <w:tcMar>
              <w:top w:type="dxa" w:w="80"/>
              <w:left w:type="dxa" w:w="100"/>
              <w:bottom w:type="dxa" w:w="80"/>
              <w:right w:type="dxa" w:w="100"/>
            </w:tcMar>
          </w:tcPr>
          <w:p>
            <w:r>
              <w:rPr>
                <w:sz w:val="20"/>
                <w:szCs w:val="20"/>
              </w:rPr>
              <w:t xml:space="preserve">Whether a model's claimed confidence matches its actual observed correctness — distinct from discrimination/ranking quality (AUC). See Guide §4.</w:t>
            </w:r>
          </w:p>
        </w:tc>
      </w:tr>
      <w:tr>
        <w:tc>
          <w:tcPr>
            <w:tcW w:type="dxa" w:w="2400"/>
            <w:tcMar>
              <w:top w:type="dxa" w:w="80"/>
              <w:left w:type="dxa" w:w="100"/>
              <w:bottom w:type="dxa" w:w="80"/>
              <w:right w:type="dxa" w:w="100"/>
            </w:tcMar>
          </w:tcPr>
          <w:p>
            <w:r>
              <w:rPr>
                <w:sz w:val="20"/>
                <w:szCs w:val="20"/>
              </w:rPr>
              <w:t xml:space="preserve">Confidence interval (CI)</w:t>
            </w:r>
          </w:p>
        </w:tc>
        <w:tc>
          <w:tcPr>
            <w:tcW w:type="dxa" w:w="6626"/>
            <w:tcMar>
              <w:top w:type="dxa" w:w="80"/>
              <w:left w:type="dxa" w:w="100"/>
              <w:bottom w:type="dxa" w:w="80"/>
              <w:right w:type="dxa" w:w="100"/>
            </w:tcMar>
          </w:tcPr>
          <w:p>
            <w:r>
              <w:rPr>
                <w:sz w:val="20"/>
                <w:szCs w:val="20"/>
              </w:rPr>
              <w:t xml:space="preserve">A range, derived from the bootstrap, expected to contain the true value of a statistic a stated percentage (e.g. 95%) of the time under resampling.</w:t>
            </w:r>
          </w:p>
        </w:tc>
      </w:tr>
      <w:tr>
        <w:tc>
          <w:tcPr>
            <w:tcW w:type="dxa" w:w="2400"/>
            <w:tcMar>
              <w:top w:type="dxa" w:w="80"/>
              <w:left w:type="dxa" w:w="100"/>
              <w:bottom w:type="dxa" w:w="80"/>
              <w:right w:type="dxa" w:w="100"/>
            </w:tcMar>
          </w:tcPr>
          <w:p>
            <w:r>
              <w:rPr>
                <w:sz w:val="20"/>
                <w:szCs w:val="20"/>
              </w:rPr>
              <w:t xml:space="preserve">Cross-dataset evaluation</w:t>
            </w:r>
          </w:p>
        </w:tc>
        <w:tc>
          <w:tcPr>
            <w:tcW w:type="dxa" w:w="6626"/>
            <w:tcMar>
              <w:top w:type="dxa" w:w="80"/>
              <w:left w:type="dxa" w:w="100"/>
              <w:bottom w:type="dxa" w:w="80"/>
              <w:right w:type="dxa" w:w="100"/>
            </w:tcMar>
          </w:tcPr>
          <w:p>
            <w:r>
              <w:rPr>
                <w:sz w:val="20"/>
                <w:szCs w:val="20"/>
              </w:rPr>
              <w:t xml:space="preserve">Measuring performance on a corpus different from the one used for calibration/tuning — the opposite of in-distribution evaluation. See Guide §5.</w:t>
            </w:r>
          </w:p>
        </w:tc>
      </w:tr>
      <w:tr>
        <w:tc>
          <w:tcPr>
            <w:tcW w:type="dxa" w:w="2400"/>
            <w:tcMar>
              <w:top w:type="dxa" w:w="80"/>
              <w:left w:type="dxa" w:w="100"/>
              <w:bottom w:type="dxa" w:w="80"/>
              <w:right w:type="dxa" w:w="100"/>
            </w:tcMar>
          </w:tcPr>
          <w:p>
            <w:r>
              <w:rPr>
                <w:sz w:val="20"/>
                <w:szCs w:val="20"/>
              </w:rPr>
              <w:t xml:space="preserve">ECE (Expected Calibration Error)</w:t>
            </w:r>
          </w:p>
        </w:tc>
        <w:tc>
          <w:tcPr>
            <w:tcW w:type="dxa" w:w="6626"/>
            <w:tcMar>
              <w:top w:type="dxa" w:w="80"/>
              <w:left w:type="dxa" w:w="100"/>
              <w:bottom w:type="dxa" w:w="80"/>
              <w:right w:type="dxa" w:w="100"/>
            </w:tcMar>
          </w:tcPr>
          <w:p>
            <w:r>
              <w:rPr>
                <w:sz w:val="20"/>
                <w:szCs w:val="20"/>
              </w:rPr>
              <w:t xml:space="preserve">Average gap, weighted by bin population, between a model's claimed confidence and its observed correctness rate.</w:t>
            </w:r>
          </w:p>
        </w:tc>
      </w:tr>
      <w:tr>
        <w:tc>
          <w:tcPr>
            <w:tcW w:type="dxa" w:w="2400"/>
            <w:tcMar>
              <w:top w:type="dxa" w:w="80"/>
              <w:left w:type="dxa" w:w="100"/>
              <w:bottom w:type="dxa" w:w="80"/>
              <w:right w:type="dxa" w:w="100"/>
            </w:tcMar>
          </w:tcPr>
          <w:p>
            <w:r>
              <w:rPr>
                <w:sz w:val="20"/>
                <w:szCs w:val="20"/>
              </w:rPr>
              <w:t xml:space="preserve">False positive / false negative</w:t>
            </w:r>
          </w:p>
        </w:tc>
        <w:tc>
          <w:tcPr>
            <w:tcW w:type="dxa" w:w="6626"/>
            <w:tcMar>
              <w:top w:type="dxa" w:w="80"/>
              <w:left w:type="dxa" w:w="100"/>
              <w:bottom w:type="dxa" w:w="80"/>
              <w:right w:type="dxa" w:w="100"/>
            </w:tcMar>
          </w:tcPr>
          <w:p>
            <w:r>
              <w:rPr>
                <w:sz w:val="20"/>
                <w:szCs w:val="20"/>
              </w:rPr>
              <w:t xml:space="preserve">A false positive wrongly flags authentic content as manipulated; a false negative wrongly passes manipulated content as authentic. See Guide §3.</w:t>
            </w:r>
          </w:p>
        </w:tc>
      </w:tr>
      <w:tr>
        <w:tc>
          <w:tcPr>
            <w:tcW w:type="dxa" w:w="2400"/>
            <w:tcMar>
              <w:top w:type="dxa" w:w="80"/>
              <w:left w:type="dxa" w:w="100"/>
              <w:bottom w:type="dxa" w:w="80"/>
              <w:right w:type="dxa" w:w="100"/>
            </w:tcMar>
          </w:tcPr>
          <w:p>
            <w:r>
              <w:rPr>
                <w:sz w:val="20"/>
                <w:szCs w:val="20"/>
              </w:rPr>
              <w:t xml:space="preserve">Fusion (of streams)</w:t>
            </w:r>
          </w:p>
        </w:tc>
        <w:tc>
          <w:tcPr>
            <w:tcW w:type="dxa" w:w="6626"/>
            <w:tcMar>
              <w:top w:type="dxa" w:w="80"/>
              <w:left w:type="dxa" w:w="100"/>
              <w:bottom w:type="dxa" w:w="80"/>
              <w:right w:type="dxa" w:w="100"/>
            </w:tcMar>
          </w:tcPr>
          <w:p>
            <w:r>
              <w:rPr>
                <w:sz w:val="20"/>
                <w:szCs w:val="20"/>
              </w:rPr>
              <w:t xml:space="preserve">Combining multiple independent detection signals (streams) into one final score, here by a measured, weighted average. See Guide §13.</w:t>
            </w:r>
          </w:p>
        </w:tc>
      </w:tr>
      <w:tr>
        <w:tc>
          <w:tcPr>
            <w:tcW w:type="dxa" w:w="2400"/>
            <w:tcMar>
              <w:top w:type="dxa" w:w="80"/>
              <w:left w:type="dxa" w:w="100"/>
              <w:bottom w:type="dxa" w:w="80"/>
              <w:right w:type="dxa" w:w="100"/>
            </w:tcMar>
          </w:tcPr>
          <w:p>
            <w:r>
              <w:rPr>
                <w:sz w:val="20"/>
                <w:szCs w:val="20"/>
              </w:rPr>
              <w:t xml:space="preserve">In-distribution / in-dataset</w:t>
            </w:r>
          </w:p>
        </w:tc>
        <w:tc>
          <w:tcPr>
            <w:tcW w:type="dxa" w:w="6626"/>
            <w:tcMar>
              <w:top w:type="dxa" w:w="80"/>
              <w:left w:type="dxa" w:w="100"/>
              <w:bottom w:type="dxa" w:w="80"/>
              <w:right w:type="dxa" w:w="100"/>
            </w:tcMar>
          </w:tcPr>
          <w:p>
            <w:r>
              <w:rPr>
                <w:sz w:val="20"/>
                <w:szCs w:val="20"/>
              </w:rPr>
              <w:t xml:space="preserve">Evaluated on the same or similar data the model was trained/tuned on — typically overstates real-world performance. See Guide §5.</w:t>
            </w:r>
          </w:p>
        </w:tc>
      </w:tr>
      <w:tr>
        <w:tc>
          <w:tcPr>
            <w:tcW w:type="dxa" w:w="2400"/>
            <w:tcMar>
              <w:top w:type="dxa" w:w="80"/>
              <w:left w:type="dxa" w:w="100"/>
              <w:bottom w:type="dxa" w:w="80"/>
              <w:right w:type="dxa" w:w="100"/>
            </w:tcMar>
          </w:tcPr>
          <w:p>
            <w:r>
              <w:rPr>
                <w:sz w:val="20"/>
                <w:szCs w:val="20"/>
              </w:rPr>
              <w:t xml:space="preserve">p-value</w:t>
            </w:r>
          </w:p>
        </w:tc>
        <w:tc>
          <w:tcPr>
            <w:tcW w:type="dxa" w:w="6626"/>
            <w:tcMar>
              <w:top w:type="dxa" w:w="80"/>
              <w:left w:type="dxa" w:w="100"/>
              <w:bottom w:type="dxa" w:w="80"/>
              <w:right w:type="dxa" w:w="100"/>
            </w:tcMar>
          </w:tcPr>
          <w:p>
            <w:r>
              <w:rPr>
                <w:sz w:val="20"/>
                <w:szCs w:val="20"/>
              </w:rPr>
              <w:t xml:space="preserve">In a significance test, the probability of seeing a result at least this extreme if there were truly no difference. A small p-value (conventionally &lt; 0.05) is called "statistically significant."</w:t>
            </w:r>
          </w:p>
        </w:tc>
      </w:tr>
      <w:tr>
        <w:tc>
          <w:tcPr>
            <w:tcW w:type="dxa" w:w="2400"/>
            <w:tcMar>
              <w:top w:type="dxa" w:w="80"/>
              <w:left w:type="dxa" w:w="100"/>
              <w:bottom w:type="dxa" w:w="80"/>
              <w:right w:type="dxa" w:w="100"/>
            </w:tcMar>
          </w:tcPr>
          <w:p>
            <w:r>
              <w:rPr>
                <w:sz w:val="20"/>
                <w:szCs w:val="20"/>
              </w:rPr>
              <w:t xml:space="preserve">Perceptual hash (pHash)</w:t>
            </w:r>
          </w:p>
        </w:tc>
        <w:tc>
          <w:tcPr>
            <w:tcW w:type="dxa" w:w="6626"/>
            <w:tcMar>
              <w:top w:type="dxa" w:w="80"/>
              <w:left w:type="dxa" w:w="100"/>
              <w:bottom w:type="dxa" w:w="80"/>
              <w:right w:type="dxa" w:w="100"/>
            </w:tcMar>
          </w:tcPr>
          <w:p>
            <w:r>
              <w:rPr>
                <w:sz w:val="20"/>
                <w:szCs w:val="20"/>
              </w:rPr>
              <w:t xml:space="preserve">A hash designed so visually/acoustically similar inputs produce similar hash values, unlike a cryptographic hash. See Guide §21.</w:t>
            </w:r>
          </w:p>
        </w:tc>
      </w:tr>
      <w:tr>
        <w:tc>
          <w:tcPr>
            <w:tcW w:type="dxa" w:w="2400"/>
            <w:tcMar>
              <w:top w:type="dxa" w:w="80"/>
              <w:left w:type="dxa" w:w="100"/>
              <w:bottom w:type="dxa" w:w="80"/>
              <w:right w:type="dxa" w:w="100"/>
            </w:tcMar>
          </w:tcPr>
          <w:p>
            <w:r>
              <w:rPr>
                <w:sz w:val="20"/>
                <w:szCs w:val="20"/>
              </w:rPr>
              <w:t xml:space="preserve">ROC curve</w:t>
            </w:r>
          </w:p>
        </w:tc>
        <w:tc>
          <w:tcPr>
            <w:tcW w:type="dxa" w:w="6626"/>
            <w:tcMar>
              <w:top w:type="dxa" w:w="80"/>
              <w:left w:type="dxa" w:w="100"/>
              <w:bottom w:type="dxa" w:w="80"/>
              <w:right w:type="dxa" w:w="100"/>
            </w:tcMar>
          </w:tcPr>
          <w:p>
            <w:r>
              <w:rPr>
                <w:sz w:val="20"/>
                <w:szCs w:val="20"/>
              </w:rPr>
              <w:t xml:space="preserve">A plot of true-positive rate against false-positive rate as a classifier's decision threshold varies. See Guide §3.</w:t>
            </w:r>
          </w:p>
        </w:tc>
      </w:tr>
      <w:tr>
        <w:tc>
          <w:tcPr>
            <w:tcW w:type="dxa" w:w="2400"/>
            <w:tcMar>
              <w:top w:type="dxa" w:w="80"/>
              <w:left w:type="dxa" w:w="100"/>
              <w:bottom w:type="dxa" w:w="80"/>
              <w:right w:type="dxa" w:w="100"/>
            </w:tcMar>
          </w:tcPr>
          <w:p>
            <w:r>
              <w:rPr>
                <w:sz w:val="20"/>
                <w:szCs w:val="20"/>
              </w:rPr>
              <w:t xml:space="preserve">Self-attention / graph attention</w:t>
            </w:r>
          </w:p>
        </w:tc>
        <w:tc>
          <w:tcPr>
            <w:tcW w:type="dxa" w:w="6626"/>
            <w:tcMar>
              <w:top w:type="dxa" w:w="80"/>
              <w:left w:type="dxa" w:w="100"/>
              <w:bottom w:type="dxa" w:w="80"/>
              <w:right w:type="dxa" w:w="100"/>
            </w:tcMar>
          </w:tcPr>
          <w:p>
            <w:r>
              <w:rPr>
                <w:sz w:val="20"/>
                <w:szCs w:val="20"/>
              </w:rPr>
              <w:t xml:space="preserve">A mechanism letting each element of an input (a patch, a token, a graph node) learn how much to weigh every other element, regardless of distance. See Guide §6, §11.</w:t>
            </w:r>
          </w:p>
        </w:tc>
      </w:tr>
      <w:tr>
        <w:tc>
          <w:tcPr>
            <w:tcW w:type="dxa" w:w="2400"/>
            <w:tcMar>
              <w:top w:type="dxa" w:w="80"/>
              <w:left w:type="dxa" w:w="100"/>
              <w:bottom w:type="dxa" w:w="80"/>
              <w:right w:type="dxa" w:w="100"/>
            </w:tcMar>
          </w:tcPr>
          <w:p>
            <w:r>
              <w:rPr>
                <w:sz w:val="20"/>
                <w:szCs w:val="20"/>
              </w:rPr>
              <w:t xml:space="preserve">Temperature scaling</w:t>
            </w:r>
          </w:p>
        </w:tc>
        <w:tc>
          <w:tcPr>
            <w:tcW w:type="dxa" w:w="6626"/>
            <w:tcMar>
              <w:top w:type="dxa" w:w="80"/>
              <w:left w:type="dxa" w:w="100"/>
              <w:bottom w:type="dxa" w:w="80"/>
              <w:right w:type="dxa" w:w="100"/>
            </w:tcMar>
          </w:tcPr>
          <w:p>
            <w:r>
              <w:rPr>
                <w:sz w:val="20"/>
                <w:szCs w:val="20"/>
              </w:rPr>
              <w:t xml:space="preserve">Dividing a model's output logits by one learned scalar to fix overconfidence without changing ranking (AUC). See Guide §4.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Understanding VeriFrame — Learning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2026-09-08T02:52:21.682Z</dcterms:created>
  <dcterms:modified xsi:type="dcterms:W3CDTF">2026-09-08T02:52:21.682Z</dcterms:modified>
</cp:coreProperties>
</file>

<file path=docProps/custom.xml><?xml version="1.0" encoding="utf-8"?>
<Properties xmlns="http://schemas.openxmlformats.org/officeDocument/2006/custom-properties" xmlns:vt="http://schemas.openxmlformats.org/officeDocument/2006/docPropsVTypes"/>
</file>