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400" w:after="80"/>
      </w:pPr>
      <w:r>
        <w:rPr>
          <w:rFonts w:ascii="Calibri" w:hAnsi="Calibri"/>
          <w:b/>
          <w:sz w:val="56"/>
          <w:color w:val="0F172A"/>
        </w:rPr>
        <w:t>NexusFL: Sprint 4 Technical Implementation &amp; Architecture Report</w:t>
      </w:r>
    </w:p>
    <w:p>
      <w:pPr>
        <w:jc w:val="center"/>
        <w:spacing w:before="0" w:after="240"/>
      </w:pPr>
      <w:r>
        <w:rPr>
          <w:rFonts w:ascii="Calibri" w:hAnsi="Calibri"/>
          <w:b/>
          <w:sz w:val="26"/>
          <w:color w:val="0284C7"/>
        </w:rPr>
        <w:t>Decentralized Zero-Trust Federated Learning for Cross-Institutional Credit Card Fraud Detection</w:t>
      </w:r>
    </w:p>
    <w:p>
      <w:pPr>
        <w:jc w:val="center"/>
        <w:spacing w:before="0" w:after="400"/>
      </w:pPr>
      <w:r>
        <w:rPr>
          <w:rFonts w:ascii="Calibri" w:hAnsi="Calibri"/>
          <w:i/>
          <w:sz w:val="20"/>
          <w:color w:val="64748B"/>
        </w:rPr>
        <w:t>Department of Information Technology, APSIT | October 8, 2026</w:t>
      </w:r>
    </w:p>
    <w:tbl>
      <w:tblPr>
        <w:tblW w:w="5000" w:type="pct"/>
        <w:jc w:val="center"/>
        <w:tblBorders>
          <w:top w:val="single" w:sz="6" w:space="0" w:color="CBD5E1"/>
          <w:bottom w:val="single" w:sz="6" w:space="0" w:color="CBD5E1"/>
          <w:left w:val="none"/>
          <w:right w:val="none"/>
          <w:insideH w:val="none"/>
          <w:insideV w:val="single" w:sz="4" w:space="0" w:color="CBD5E1"/>
        </w:tblBorders>
      </w:tblPr>
      <w:tr>
        <w:tc>
          <w:tcPr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sz w:val="18"/>
                <w:color w:val="0F172A"/>
              </w:rPr>
              <w:t>Kaushik Naik: </w:t>
            </w:r>
            <w:r>
              <w:rPr>
                <w:sz w:val="18"/>
                <w:color w:val="334155"/>
              </w:rPr>
              <w:t>Lead Architect, TPM &amp; Code Reviewer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sz w:val="18"/>
                <w:color w:val="0F172A"/>
              </w:rPr>
              <w:t>Nitesh Pangle: </w:t>
            </w:r>
            <w:r>
              <w:rPr>
                <w:sz w:val="18"/>
                <w:color w:val="334155"/>
              </w:rPr>
              <w:t>Backend, Infra &amp; Data Lead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sz w:val="18"/>
                <w:color w:val="0F172A"/>
              </w:rPr>
              <w:t>Aditya Mishra: </w:t>
            </w:r>
            <w:r>
              <w:rPr>
                <w:sz w:val="18"/>
                <w:color w:val="334155"/>
              </w:rPr>
              <w:t>Frontend, QA &amp; Analytics Lead</w:t>
            </w:r>
          </w:p>
        </w:tc>
        <w:tc>
          <w:tcPr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sz w:val="18"/>
                <w:color w:val="0F172A"/>
              </w:rPr>
              <w:t>Status: </w:t>
            </w:r>
            <w:r>
              <w:rPr>
                <w:sz w:val="18"/>
                <w:color w:val="334155"/>
              </w:rPr>
              <w:t>Phase 2 Sprint 4 Complete</w:t>
            </w:r>
          </w:p>
        </w:tc>
      </w:tr>
    </w:tbl>
    <w:p>
      <w:pPr>
        <w:spacing w:before="120" w:after="280"/>
      </w:pPr>
    </w:p>
    <w:p>
      <w:pPr>
        <w:spacing w:before="400" w:after="160"/>
        <w:pBdr>
          <w:bottom w:val="single" w:sz="16" w:space="6" w:color="0284C7"/>
        </w:pBdr>
      </w:pPr>
      <w:r>
        <w:rPr>
          <w:rFonts w:ascii="Calibri" w:hAnsi="Calibri"/>
          <w:b/>
          <w:sz w:val="36"/>
          <w:color w:val="0369A1"/>
        </w:rPr>
        <w:t>1. Executive Summary &amp; Redistribution Rationale</w:t>
      </w:r>
    </w:p>
    <w:p>
      <w:pPr>
        <w:spacing w:before="60" w:after="140" w:line="280" w:lineRule="auto"/>
      </w:pPr>
      <w:r>
        <w:rPr>
          <w:rFonts w:ascii="Calibri" w:hAnsi="Calibri"/>
          <w:sz w:val="22"/>
          <w:color w:val="334155"/>
        </w:rPr>
        <w:t>During the 4-day crunch, workload was redistributed to match domain strengths: Nitesh absorbed FastAPI and infrastructure; Aditya absorbed Next.js React frontend and QA; Kaushik governed architecture, CI/CD, and PR reviews.</w:t>
      </w:r>
    </w:p>
    <w:tbl>
      <w:tblPr>
        <w:tblW w:w="5000" w:type="pct"/>
        <w:jc w:val="center"/>
        <w:tblBorders>
          <w:top w:val="single" w:sz="8" w:space="0" w:color="CBD5E1"/>
          <w:bottom w:val="single" w:sz="8" w:space="0" w:color="CBD5E1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r>
        <w:tc>
          <w:tcPr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  <w:color w:val="FFFFFF"/>
              </w:rPr>
              <w:t>Member</w:t>
            </w:r>
          </w:p>
        </w:tc>
        <w:tc>
          <w:tcPr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  <w:color w:val="FFFFFF"/>
              </w:rPr>
              <w:t>Branches</w:t>
            </w:r>
          </w:p>
        </w:tc>
        <w:tc>
          <w:tcPr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  <w:color w:val="FFFFFF"/>
              </w:rPr>
              <w:t>Target Deliverables</w:t>
            </w:r>
          </w:p>
        </w:tc>
        <w:tc>
          <w:tcPr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  <w:color w:val="FFFFFF"/>
              </w:rPr>
              <w:t>Status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Nitesh Pangle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feature/fastapi-inference, feature/schema-adapters, feature/docker-postgres-redis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FastAPI /predict, lifespan model loading, SQL/JSON schema adapters, Docker Compose, Postgres init, Nginx proxy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Completed</w:t>
            </w:r>
          </w:p>
        </w:tc>
      </w:tr>
      <w:tr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Aditya Mishra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feature/nextjs-dashboard, feature/api-edge-cases, feature/locust-load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Next.js Analyst Dashboard UI, PyTest API edge-case suite (15 tests), Locust 500 VUs load test, Tradeoff Matrix</w:t>
            </w:r>
          </w:p>
        </w:tc>
        <w:tc>
          <w:tcPr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Completed</w:t>
            </w:r>
          </w:p>
        </w:tc>
      </w:tr>
      <w:tr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Kaushik Naik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dev, main (PR Reviews)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Branch naming regex fix, code review gatekeeping, merge orchestration</w:t>
            </w:r>
          </w:p>
        </w:tc>
        <w:tc>
          <w:tcPr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  <w:color w:val="1E293B"/>
              </w:rPr>
              <w:t>Completed</w:t>
            </w:r>
          </w:p>
        </w:tc>
      </w:tr>
    </w:tbl>
    <w:p>
      <w:pPr>
        <w:spacing w:before="120" w:after="240"/>
      </w:pPr>
    </w:p>
    <w:p>
      <w:pPr>
        <w:spacing w:before="400" w:after="160"/>
        <w:pBdr>
          <w:bottom w:val="single" w:sz="16" w:space="6" w:color="0284C7"/>
        </w:pBdr>
      </w:pPr>
      <w:r>
        <w:rPr>
          <w:rFonts w:ascii="Calibri" w:hAnsi="Calibri"/>
          <w:b/>
          <w:sz w:val="36"/>
          <w:color w:val="0369A1"/>
        </w:rPr>
        <w:t>2. What Was Done Today, How, and Why</w:t>
      </w:r>
    </w:p>
    <w:p>
      <w:pPr>
        <w:spacing w:before="280" w:after="100"/>
      </w:pPr>
      <w:r>
        <w:rPr>
          <w:rFonts w:ascii="Calibri" w:hAnsi="Calibri"/>
          <w:b/>
          <w:sz w:val="28"/>
          <w:color w:val="0F172A"/>
        </w:rPr>
        <w:t>FastAPI Inference Engine &amp; PyTorch Lifespan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What: </w:t>
      </w:r>
      <w:r>
        <w:rPr>
          <w:rFonts w:ascii="Calibri" w:hAnsi="Calibri"/>
          <w:sz w:val="22"/>
          <w:color w:val="334155"/>
        </w:rPr>
        <w:t>FastAPI app loading global_model.pt with @asynccontextmanager, weights_only=True, and 0.15 threshold.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How: </w:t>
      </w:r>
      <w:r>
        <w:rPr>
          <w:rFonts w:ascii="Calibri" w:hAnsi="Calibri"/>
          <w:sz w:val="22"/>
          <w:color w:val="334155"/>
        </w:rPr>
        <w:t>Preloading PyTorch model once at startup and passing canonical 30-feature tensors.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Why: </w:t>
      </w:r>
      <w:r>
        <w:rPr>
          <w:rFonts w:ascii="Calibri" w:hAnsi="Calibri"/>
          <w:sz w:val="22"/>
          <w:color w:val="334155"/>
        </w:rPr>
        <w:t>Eliminates per-request PyTorch graph reloading latency and blocks arbitrary remote code execution vulnerabilities.</w:t>
      </w:r>
    </w:p>
    <w:p>
      <w:pPr>
        <w:spacing w:before="280" w:after="100"/>
      </w:pPr>
      <w:r>
        <w:rPr>
          <w:rFonts w:ascii="Calibri" w:hAnsi="Calibri"/>
          <w:b/>
          <w:sz w:val="28"/>
          <w:color w:val="0F172A"/>
        </w:rPr>
        <w:t>Heterogeneous Schema Adapters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What: </w:t>
      </w:r>
      <w:r>
        <w:rPr>
          <w:rFonts w:ascii="Calibri" w:hAnsi="Calibri"/>
          <w:sz w:val="22"/>
          <w:color w:val="334155"/>
        </w:rPr>
        <w:t>Built adapter_bank1_sql.py and adapter_bank2_json.py for relational and NoSQL document stores.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How: </w:t>
      </w:r>
      <w:r>
        <w:rPr>
          <w:rFonts w:ascii="Calibri" w:hAnsi="Calibri"/>
          <w:sz w:val="22"/>
          <w:color w:val="334155"/>
        </w:rPr>
        <w:t>Mapped disparate database rows and nested JSON events to canonical 30 floats.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Why: </w:t>
      </w:r>
      <w:r>
        <w:rPr>
          <w:rFonts w:ascii="Calibri" w:hAnsi="Calibri"/>
          <w:sz w:val="22"/>
          <w:color w:val="334155"/>
        </w:rPr>
        <w:t>Decouples edge database formats from the AI model, satisfying System Context Rule 4.</w:t>
      </w:r>
    </w:p>
    <w:p>
      <w:pPr>
        <w:spacing w:before="280" w:after="100"/>
      </w:pPr>
      <w:r>
        <w:rPr>
          <w:rFonts w:ascii="Calibri" w:hAnsi="Calibri"/>
          <w:b/>
          <w:sz w:val="28"/>
          <w:color w:val="0F172A"/>
        </w:rPr>
        <w:t>Next.js Analyst Dashboard UI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What: </w:t>
      </w:r>
      <w:r>
        <w:rPr>
          <w:rFonts w:ascii="Calibri" w:hAnsi="Calibri"/>
          <w:sz w:val="22"/>
          <w:color w:val="334155"/>
        </w:rPr>
        <w:t>Built reactive analyst dashboard with live table, alert modal, metrics ribbon, and interactive triggers.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How: </w:t>
      </w:r>
      <w:r>
        <w:rPr>
          <w:rFonts w:ascii="Calibri" w:hAnsi="Calibri"/>
          <w:sz w:val="22"/>
          <w:color w:val="334155"/>
        </w:rPr>
        <w:t>Used Next.js App Router and Tailwind CSS with zero-trust PII masking (PCA highlights only).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Why: </w:t>
      </w:r>
      <w:r>
        <w:rPr>
          <w:rFonts w:ascii="Calibri" w:hAnsi="Calibri"/>
          <w:sz w:val="22"/>
          <w:color w:val="334155"/>
        </w:rPr>
        <w:t>Provides fraud analysts with sub-second decision triage while protecting customer privacy.</w:t>
      </w:r>
    </w:p>
    <w:p>
      <w:pPr>
        <w:spacing w:before="280" w:after="100"/>
      </w:pPr>
      <w:r>
        <w:rPr>
          <w:rFonts w:ascii="Calibri" w:hAnsi="Calibri"/>
          <w:b/>
          <w:sz w:val="28"/>
          <w:color w:val="0F172A"/>
        </w:rPr>
        <w:t>QA PyTest Suite &amp; Locust 500 VU Concurrency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What: </w:t>
      </w:r>
      <w:r>
        <w:rPr>
          <w:rFonts w:ascii="Calibri" w:hAnsi="Calibri"/>
          <w:sz w:val="22"/>
          <w:color w:val="334155"/>
        </w:rPr>
        <w:t>Built 15 test cases in test_predict_api.py and 500 VU load test in locustfile.py.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How: </w:t>
      </w:r>
      <w:r>
        <w:rPr>
          <w:rFonts w:ascii="Calibri" w:hAnsi="Calibri"/>
          <w:sz w:val="22"/>
          <w:color w:val="334155"/>
        </w:rPr>
        <w:t>Tested adapters, valid payloads, 29/31 feature boundaries, strings, nulls, and extreme floats.</w:t>
      </w:r>
    </w:p>
    <w:p>
      <w:pPr>
        <w:ind w:left="420" w:hanging="260"/>
        <w:spacing w:before="40" w:after="80"/>
      </w:pPr>
      <w:r>
        <w:rPr>
          <w:rFonts w:ascii="Calibri" w:hAnsi="Calibri"/>
          <w:b/>
          <w:color w:val="0284C7"/>
        </w:rPr>
        <w:t>▪ </w:t>
      </w:r>
      <w:r>
        <w:rPr>
          <w:rFonts w:ascii="Calibri" w:hAnsi="Calibri"/>
          <w:b/>
          <w:sz w:val="22"/>
          <w:color w:val="0F172A"/>
        </w:rPr>
        <w:t>Why: </w:t>
      </w:r>
      <w:r>
        <w:rPr>
          <w:rFonts w:ascii="Calibri" w:hAnsi="Calibri"/>
          <w:sz w:val="22"/>
          <w:color w:val="334155"/>
        </w:rPr>
        <w:t>Guarantees contract enforcement, 2,480 req/s throughput, and zero CI regressions.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>
  <Application>Microsoft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NexusFL: Sprint 4 Technical Implementation &amp; Architecture Report</dc:title>
  <dc:subject>Federated Learning &amp; Real-Time Fraud Detection</dc:subject>
  <dc:creator>Kaushik Naik, Nitesh Pangle, Aditya Mishra</dc:creator>
  <dcterms:created xsi:type="dcterms:W3CDTF">2026-10-08T11:45:00Z</dcterms:created>
</cp:coreProperties>
</file>