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Calibri" w:hAnsi="Calibri"/>
          <w:b/>
          <w:i w:val="0"/>
          <w:color w:val="7A5A00"/>
          <w:sz w:val="20"/>
        </w:rPr>
        <w:t>MASTERCARD INNOVATION CHALLENGE @ GFF 2026</w:t>
      </w:r>
    </w:p>
    <w:p>
      <w:pPr>
        <w:spacing w:after="100"/>
        <w:jc w:val="center"/>
      </w:pPr>
      <w:r>
        <w:rPr>
          <w:rFonts w:ascii="Calibri" w:hAnsi="Calibri"/>
          <w:b/>
          <w:i w:val="0"/>
          <w:color w:val="0B2545"/>
          <w:sz w:val="60"/>
        </w:rPr>
        <w:t>AI Defense Lab</w:t>
      </w:r>
    </w:p>
    <w:p>
      <w:pPr>
        <w:spacing w:after="440"/>
        <w:jc w:val="center"/>
      </w:pPr>
      <w:r>
        <w:rPr>
          <w:rFonts w:ascii="Calibri" w:hAnsi="Calibri"/>
          <w:b w:val="0"/>
          <w:i w:val="0"/>
          <w:color w:val="1F4D78"/>
          <w:sz w:val="30"/>
        </w:rPr>
        <w:t>A Red Team / Blue Team prototype for adaptive payment-fraud defense</w:t>
      </w:r>
    </w:p>
    <w:tbl>
      <w:tblPr>
        <w:tblW w:type="dxa" w:w="9360"/>
        <w:jc w:val="left"/>
        <w:tblLayout w:type="fixed"/>
        <w:tblLook w:firstColumn="1" w:firstRow="1" w:lastColumn="0" w:lastRow="0" w:noHBand="0" w:noVBand="1" w:val="04A0"/>
        <w:tblInd w:w="12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3120"/>
        <w:gridCol w:w="3120"/>
        <w:gridCol w:w="3120"/>
      </w:tblGrid>
      <w:tr>
        <w:tc>
          <w:tcPr>
            <w:tcW w:type="dxa" w:w="3120"/>
            <w:tcMar>
              <w:top w:w="80" w:type="dxa"/>
              <w:start w:w="120" w:type="dxa"/>
              <w:bottom w:w="80" w:type="dxa"/>
              <w:end w:w="120" w:type="dxa"/>
            </w:tcMar>
            <w:vAlign w:val="center"/>
            <w:shd w:fill="F4F6F9"/>
          </w:tcPr>
          <w:p>
            <w:pPr>
              <w:spacing w:after="40"/>
              <w:jc w:val="center"/>
            </w:pPr>
            <w:r/>
            <w:r>
              <w:rPr>
                <w:rFonts w:ascii="Calibri" w:hAnsi="Calibri"/>
                <w:b/>
                <w:i w:val="0"/>
                <w:color w:val="5B6573"/>
                <w:sz w:val="16"/>
              </w:rPr>
              <w:t>UNSEEN STEALTH v2</w:t>
            </w:r>
          </w:p>
          <w:p>
            <w:pPr>
              <w:spacing w:after="0"/>
              <w:jc w:val="center"/>
            </w:pPr>
            <w:r>
              <w:rPr>
                <w:rFonts w:ascii="Calibri" w:hAnsi="Calibri"/>
                <w:b/>
                <w:i w:val="0"/>
                <w:color w:val="1F5F4A"/>
                <w:sz w:val="38"/>
              </w:rPr>
              <w:t>88.8%</w:t>
            </w:r>
          </w:p>
        </w:tc>
        <w:tc>
          <w:tcPr>
            <w:tcW w:type="dxa" w:w="3120"/>
            <w:tcMar>
              <w:top w:w="80" w:type="dxa"/>
              <w:start w:w="120" w:type="dxa"/>
              <w:bottom w:w="80" w:type="dxa"/>
              <w:end w:w="120" w:type="dxa"/>
            </w:tcMar>
            <w:vAlign w:val="center"/>
            <w:shd w:fill="F4F6F9"/>
          </w:tcPr>
          <w:p>
            <w:pPr>
              <w:spacing w:after="40"/>
              <w:jc w:val="center"/>
            </w:pPr>
            <w:r/>
            <w:r>
              <w:rPr>
                <w:rFonts w:ascii="Calibri" w:hAnsi="Calibri"/>
                <w:b/>
                <w:i w:val="0"/>
                <w:color w:val="5B6573"/>
                <w:sz w:val="16"/>
              </w:rPr>
              <w:t>EVALUATION SET</w:t>
            </w:r>
          </w:p>
          <w:p>
            <w:pPr>
              <w:spacing w:after="0"/>
              <w:jc w:val="center"/>
            </w:pPr>
            <w:r>
              <w:rPr>
                <w:rFonts w:ascii="Calibri" w:hAnsi="Calibri"/>
                <w:b/>
                <w:i w:val="0"/>
                <w:color w:val="1F4D78"/>
                <w:sz w:val="38"/>
              </w:rPr>
              <w:t>444 / 500</w:t>
            </w:r>
          </w:p>
        </w:tc>
        <w:tc>
          <w:tcPr>
            <w:tcW w:type="dxa" w:w="3120"/>
            <w:tcMar>
              <w:top w:w="80" w:type="dxa"/>
              <w:start w:w="120" w:type="dxa"/>
              <w:bottom w:w="80" w:type="dxa"/>
              <w:end w:w="120" w:type="dxa"/>
            </w:tcMar>
            <w:vAlign w:val="center"/>
            <w:shd w:fill="F4F6F9"/>
          </w:tcPr>
          <w:p>
            <w:pPr>
              <w:spacing w:after="40"/>
              <w:jc w:val="center"/>
            </w:pPr>
            <w:r/>
            <w:r>
              <w:rPr>
                <w:rFonts w:ascii="Calibri" w:hAnsi="Calibri"/>
                <w:b/>
                <w:i w:val="0"/>
                <w:color w:val="5B6573"/>
                <w:sz w:val="16"/>
              </w:rPr>
              <w:t>IMPROVEMENT</w:t>
            </w:r>
          </w:p>
          <w:p>
            <w:pPr>
              <w:spacing w:after="0"/>
              <w:jc w:val="center"/>
            </w:pPr>
            <w:r>
              <w:rPr>
                <w:rFonts w:ascii="Calibri" w:hAnsi="Calibri"/>
                <w:b/>
                <w:i w:val="0"/>
                <w:color w:val="7A5A00"/>
                <w:sz w:val="38"/>
              </w:rPr>
              <w:t>+84.2 pp</w:t>
            </w:r>
          </w:p>
        </w:tc>
      </w:tr>
    </w:tbl>
    <w:p>
      <w:pPr>
        <w:spacing w:before="600" w:after="100"/>
        <w:jc w:val="center"/>
      </w:pPr>
      <w:r>
        <w:rPr>
          <w:rFonts w:ascii="Calibri" w:hAnsi="Calibri"/>
          <w:b/>
          <w:i w:val="0"/>
          <w:color w:val="0B2545"/>
          <w:sz w:val="24"/>
        </w:rPr>
        <w:t>Competition-ready technical overview</w:t>
      </w:r>
    </w:p>
    <w:p>
      <w:pPr>
        <w:spacing w:after="0"/>
        <w:jc w:val="center"/>
      </w:pPr>
      <w:r>
        <w:rPr>
          <w:rFonts w:ascii="Calibri" w:hAnsi="Calibri"/>
          <w:b w:val="0"/>
          <w:i/>
          <w:color w:val="5B6573"/>
          <w:sz w:val="20"/>
        </w:rPr>
        <w:t>Prepared as a prototype evaluation. Metrics are from controlled synthetic-payment experiments and do not claim production performance.</w:t>
      </w:r>
    </w:p>
    <w:p>
      <w:r>
        <w:br w:type="page"/>
      </w:r>
    </w:p>
    <w:p>
      <w:pPr>
        <w:pStyle w:val="Heading1"/>
        <w:keepNext/>
      </w:pPr>
      <w:r>
        <w:t>Executive Summary</w:t>
      </w:r>
    </w:p>
    <w:p>
      <w:pPr>
        <w:spacing w:after="160"/>
      </w:pPr>
      <w:r>
        <w:rPr>
          <w:rFonts w:ascii="Calibri" w:hAnsi="Calibri"/>
          <w:b w:val="0"/>
          <w:i w:val="0"/>
          <w:color w:val="0B2545"/>
          <w:sz w:val="22"/>
        </w:rPr>
        <w:t>AI Defense Lab is a closed-loop fraud-defense prototype: a Red Team creates realistic synthetic payment attacks, while a Blue Team scores transactions, explains risk, and uses observed failures to guide the next round of adversarial training. The goal is not to claim a production-ready fraud engine, but to demonstrate a disciplined way to stress-test a payment-risk model before live deployment.</w:t>
      </w:r>
    </w:p>
    <w:p>
      <w:pPr>
        <w:spacing w:after="160"/>
      </w:pPr>
      <w:r>
        <w:rPr>
          <w:rFonts w:ascii="Calibri" w:hAnsi="Calibri"/>
          <w:b w:val="0"/>
          <w:i w:val="0"/>
          <w:color w:val="0B2545"/>
          <w:sz w:val="22"/>
        </w:rPr>
        <w:t>The prototype achieved 88.8% detection (444 of 500) on an unseen Stealth v2 evaluation set after an adaptive loop. This is a +84.2 percentage-point increase from the 4.6% Stealth v1 result. The improvement reflects a controlled change in the simulated attack distribution and retraining process; it should be validated against independently governed real-world data before operational use.</w:t>
      </w:r>
    </w:p>
    <w:p>
      <w:pPr>
        <w:pStyle w:val="Heading1"/>
        <w:keepNext/>
      </w:pPr>
      <w:r>
        <w:t>1. Problem and Prototype Scope</w:t>
      </w:r>
    </w:p>
    <w:p>
      <w:pPr>
        <w:spacing w:after="120"/>
      </w:pPr>
      <w:r>
        <w:rPr>
          <w:rFonts w:ascii="Calibri" w:hAnsi="Calibri"/>
          <w:b w:val="0"/>
          <w:i w:val="0"/>
          <w:color w:val="0B2545"/>
          <w:sz w:val="22"/>
        </w:rPr>
        <w:t>Payment fraud evolves around controls. A static classifier can look strong in aggregate while missing a carefully shaped attack that stays just inside normal-looking transaction patterns. AI Defense Lab makes that weakness visible by continuously generating adversarial but controlled transaction scenarios.</w:t>
      </w:r>
    </w:p>
    <w:p>
      <w:pPr>
        <w:pStyle w:val="ListBullet"/>
        <w:spacing w:after="80" w:line="290" w:lineRule="auto"/>
        <w:ind w:left="540" w:hanging="279"/>
      </w:pPr>
      <w:r>
        <w:rPr>
          <w:rFonts w:ascii="Calibri" w:hAnsi="Calibri"/>
          <w:b w:val="0"/>
          <w:i w:val="0"/>
          <w:color w:val="0B2545"/>
          <w:sz w:val="22"/>
        </w:rPr>
        <w:t>Scope: synthetic, tabular payment transactions generated from behavioral, device, merchant, and velocity templates.</w:t>
      </w:r>
    </w:p>
    <w:p>
      <w:pPr>
        <w:pStyle w:val="ListBullet"/>
        <w:spacing w:after="80" w:line="290" w:lineRule="auto"/>
        <w:ind w:left="540" w:hanging="279"/>
      </w:pPr>
      <w:r>
        <w:rPr>
          <w:rFonts w:ascii="Calibri" w:hAnsi="Calibri"/>
          <w:b w:val="0"/>
          <w:i w:val="0"/>
          <w:color w:val="0B2545"/>
          <w:sz w:val="22"/>
        </w:rPr>
        <w:t>Demonstration: five implemented attack families, a Random Forest detector, dashboard-based risk scoring, and adaptive retraining.</w:t>
      </w:r>
    </w:p>
    <w:p>
      <w:pPr>
        <w:pStyle w:val="ListBullet"/>
        <w:spacing w:after="80" w:line="290" w:lineRule="auto"/>
        <w:ind w:left="540" w:hanging="279"/>
      </w:pPr>
      <w:r>
        <w:rPr>
          <w:rFonts w:ascii="Calibri" w:hAnsi="Calibri"/>
          <w:b w:val="0"/>
          <w:i w:val="0"/>
          <w:color w:val="0B2545"/>
          <w:sz w:val="22"/>
        </w:rPr>
        <w:t>Boundary: this prototype does not process live cardholder data, connect to payment rails, or make production authorization decisions.</w:t>
      </w:r>
    </w:p>
    <w:p>
      <w:pPr>
        <w:pStyle w:val="Heading1"/>
        <w:keepNext/>
      </w:pPr>
      <w:r>
        <w:t>2. System Architecture</w:t>
      </w:r>
    </w:p>
    <w:p>
      <w:pPr>
        <w:spacing w:after="100"/>
      </w:pPr>
      <w:r>
        <w:rPr>
          <w:rFonts w:ascii="Calibri" w:hAnsi="Calibri"/>
          <w:b w:val="0"/>
          <w:i w:val="0"/>
          <w:color w:val="0B2545"/>
          <w:sz w:val="22"/>
        </w:rPr>
        <w:t>The prototype separates attack generation, detection, action simulation, and learning feedback so that failed defenses become measured training signals.</w:t>
      </w:r>
    </w:p>
    <w:tbl>
      <w:tblPr>
        <w:tblW w:type="dxa" w:w="9360"/>
        <w:jc w:val="left"/>
        <w:tblLayout w:type="fixed"/>
        <w:tblLook w:firstColumn="1" w:firstRow="1" w:lastColumn="0" w:lastRow="0" w:noHBand="0" w:noVBand="1" w:val="04A0"/>
        <w:tblInd w:w="12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1800"/>
        <w:gridCol w:w="1800"/>
        <w:gridCol w:w="1800"/>
        <w:gridCol w:w="1800"/>
        <w:gridCol w:w="2160"/>
      </w:tblGrid>
      <w:tr>
        <w:tc>
          <w:tcPr>
            <w:tcW w:type="dxa" w:w="1800"/>
            <w:tcMar>
              <w:top w:w="80" w:type="dxa"/>
              <w:start w:w="120" w:type="dxa"/>
              <w:bottom w:w="80" w:type="dxa"/>
              <w:end w:w="120" w:type="dxa"/>
            </w:tcMar>
            <w:vAlign w:val="center"/>
            <w:shd w:fill="E8EEF5"/>
          </w:tcPr>
          <w:p>
            <w:pPr>
              <w:spacing w:after="60"/>
              <w:jc w:val="center"/>
            </w:pPr>
            <w:r/>
            <w:r>
              <w:rPr>
                <w:rFonts w:ascii="Calibri" w:hAnsi="Calibri"/>
                <w:b/>
                <w:i w:val="0"/>
                <w:color w:val="1F4D78"/>
                <w:sz w:val="16"/>
              </w:rPr>
              <w:t>1. SYNTHETIC TEMPLATES</w:t>
            </w:r>
          </w:p>
          <w:p>
            <w:pPr>
              <w:spacing w:after="0"/>
              <w:jc w:val="center"/>
            </w:pPr>
            <w:r>
              <w:rPr>
                <w:rFonts w:ascii="Calibri" w:hAnsi="Calibri"/>
                <w:b w:val="0"/>
                <w:i w:val="0"/>
                <w:color w:val="0B2545"/>
                <w:sz w:val="17"/>
              </w:rPr>
              <w:t>Normal payment profiles</w:t>
            </w:r>
          </w:p>
        </w:tc>
        <w:tc>
          <w:tcPr>
            <w:tcW w:type="dxa" w:w="1800"/>
            <w:tcMar>
              <w:top w:w="80" w:type="dxa"/>
              <w:start w:w="120" w:type="dxa"/>
              <w:bottom w:w="80" w:type="dxa"/>
              <w:end w:w="120" w:type="dxa"/>
            </w:tcMar>
            <w:vAlign w:val="center"/>
            <w:shd w:fill="F4F6F9"/>
          </w:tcPr>
          <w:p>
            <w:pPr>
              <w:spacing w:after="60"/>
              <w:jc w:val="center"/>
            </w:pPr>
            <w:r/>
            <w:r>
              <w:rPr>
                <w:rFonts w:ascii="Calibri" w:hAnsi="Calibri"/>
                <w:b/>
                <w:i w:val="0"/>
                <w:color w:val="1F4D78"/>
                <w:sz w:val="16"/>
              </w:rPr>
              <w:t>2. RED TEAM</w:t>
            </w:r>
          </w:p>
          <w:p>
            <w:pPr>
              <w:spacing w:after="0"/>
              <w:jc w:val="center"/>
            </w:pPr>
            <w:r>
              <w:rPr>
                <w:rFonts w:ascii="Calibri" w:hAnsi="Calibri"/>
                <w:b w:val="0"/>
                <w:i w:val="0"/>
                <w:color w:val="0B2545"/>
                <w:sz w:val="17"/>
              </w:rPr>
              <w:t>Attack variants</w:t>
            </w:r>
          </w:p>
        </w:tc>
        <w:tc>
          <w:tcPr>
            <w:tcW w:type="dxa" w:w="1800"/>
            <w:tcMar>
              <w:top w:w="80" w:type="dxa"/>
              <w:start w:w="120" w:type="dxa"/>
              <w:bottom w:w="80" w:type="dxa"/>
              <w:end w:w="120" w:type="dxa"/>
            </w:tcMar>
            <w:vAlign w:val="center"/>
            <w:shd w:fill="E8EEF5"/>
          </w:tcPr>
          <w:p>
            <w:pPr>
              <w:spacing w:after="60"/>
              <w:jc w:val="center"/>
            </w:pPr>
            <w:r/>
            <w:r>
              <w:rPr>
                <w:rFonts w:ascii="Calibri" w:hAnsi="Calibri"/>
                <w:b/>
                <w:i w:val="0"/>
                <w:color w:val="1F4D78"/>
                <w:sz w:val="16"/>
              </w:rPr>
              <w:t>3. BLUE TEAM</w:t>
            </w:r>
          </w:p>
          <w:p>
            <w:pPr>
              <w:spacing w:after="0"/>
              <w:jc w:val="center"/>
            </w:pPr>
            <w:r>
              <w:rPr>
                <w:rFonts w:ascii="Calibri" w:hAnsi="Calibri"/>
                <w:b w:val="0"/>
                <w:i w:val="0"/>
                <w:color w:val="0B2545"/>
                <w:sz w:val="17"/>
              </w:rPr>
              <w:t>RF risk score</w:t>
            </w:r>
          </w:p>
        </w:tc>
        <w:tc>
          <w:tcPr>
            <w:tcW w:type="dxa" w:w="1800"/>
            <w:tcMar>
              <w:top w:w="80" w:type="dxa"/>
              <w:start w:w="120" w:type="dxa"/>
              <w:bottom w:w="80" w:type="dxa"/>
              <w:end w:w="120" w:type="dxa"/>
            </w:tcMar>
            <w:vAlign w:val="center"/>
            <w:shd w:fill="F4F6F9"/>
          </w:tcPr>
          <w:p>
            <w:pPr>
              <w:spacing w:after="60"/>
              <w:jc w:val="center"/>
            </w:pPr>
            <w:r/>
            <w:r>
              <w:rPr>
                <w:rFonts w:ascii="Calibri" w:hAnsi="Calibri"/>
                <w:b/>
                <w:i w:val="0"/>
                <w:color w:val="1F4D78"/>
                <w:sz w:val="16"/>
              </w:rPr>
              <w:t>4. RESPONSE</w:t>
            </w:r>
          </w:p>
          <w:p>
            <w:pPr>
              <w:spacing w:after="0"/>
              <w:jc w:val="center"/>
            </w:pPr>
            <w:r>
              <w:rPr>
                <w:rFonts w:ascii="Calibri" w:hAnsi="Calibri"/>
                <w:b w:val="0"/>
                <w:i w:val="0"/>
                <w:color w:val="0B2545"/>
                <w:sz w:val="17"/>
              </w:rPr>
              <w:t>Approve / step-up / block</w:t>
            </w:r>
          </w:p>
        </w:tc>
        <w:tc>
          <w:tcPr>
            <w:tcW w:type="dxa" w:w="2160"/>
            <w:tcMar>
              <w:top w:w="80" w:type="dxa"/>
              <w:start w:w="120" w:type="dxa"/>
              <w:bottom w:w="80" w:type="dxa"/>
              <w:end w:w="120" w:type="dxa"/>
            </w:tcMar>
            <w:vAlign w:val="center"/>
            <w:shd w:fill="E8EEF5"/>
          </w:tcPr>
          <w:p>
            <w:pPr>
              <w:spacing w:after="60"/>
              <w:jc w:val="center"/>
            </w:pPr>
            <w:r/>
            <w:r>
              <w:rPr>
                <w:rFonts w:ascii="Calibri" w:hAnsi="Calibri"/>
                <w:b/>
                <w:i w:val="0"/>
                <w:color w:val="1F4D78"/>
                <w:sz w:val="16"/>
              </w:rPr>
              <w:t>5. FEEDBACK</w:t>
            </w:r>
          </w:p>
          <w:p>
            <w:pPr>
              <w:spacing w:after="0"/>
              <w:jc w:val="center"/>
            </w:pPr>
            <w:r>
              <w:rPr>
                <w:rFonts w:ascii="Calibri" w:hAnsi="Calibri"/>
                <w:b w:val="0"/>
                <w:i w:val="0"/>
                <w:color w:val="0B2545"/>
                <w:sz w:val="17"/>
              </w:rPr>
              <w:t>Misses shape retraining</w:t>
            </w:r>
          </w:p>
        </w:tc>
      </w:tr>
    </w:tbl>
    <w:p>
      <w:pPr>
        <w:spacing w:before="80" w:after="80"/>
      </w:pPr>
      <w:r>
        <w:rPr>
          <w:rFonts w:ascii="Calibri" w:hAnsi="Calibri"/>
          <w:b w:val="0"/>
          <w:i/>
          <w:color w:val="5B6573"/>
          <w:sz w:val="17"/>
        </w:rPr>
        <w:t>Figure 1. Prototype flow: transactions are simulated, scored, routed to a risk action, and analyzed for the next Red Team / Blue Team cycle.</w:t>
      </w:r>
    </w:p>
    <w:p>
      <w:pPr>
        <w:pStyle w:val="Heading1"/>
        <w:keepNext/>
      </w:pPr>
      <w:r>
        <w:t>3. Fraud-Attack Taxonomy</w:t>
      </w:r>
    </w:p>
    <w:p>
      <w:pPr>
        <w:spacing w:after="120"/>
      </w:pPr>
      <w:r>
        <w:rPr>
          <w:rFonts w:ascii="Calibri" w:hAnsi="Calibri"/>
          <w:b w:val="0"/>
          <w:i w:val="0"/>
          <w:color w:val="0B2545"/>
          <w:sz w:val="22"/>
        </w:rPr>
        <w:t>The taxonomy intentionally distinguishes what was implemented and measured from plausible extensions that remain future work. Only the five implemented families informed the reported efficacy results.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0"/>
        <w:gridCol w:w="950"/>
        <w:gridCol w:w="3400"/>
        <w:gridCol w:w="3210"/>
      </w:tblGrid>
      <w:tr>
        <w:trPr>
          <w:tblHeader w:val="true"/>
        </w:trPr>
        <w:tc>
          <w:tcPr>
            <w:tcW w:type="dxa" w:w="18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Attack family</w:t>
            </w:r>
          </w:p>
        </w:tc>
        <w:tc>
          <w:tcPr>
            <w:tcW w:type="dxa" w:w="9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Status</w:t>
            </w:r>
          </w:p>
        </w:tc>
        <w:tc>
          <w:tcPr>
            <w:tcW w:type="dxa" w:w="34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Simulation concept</w:t>
            </w:r>
          </w:p>
        </w:tc>
        <w:tc>
          <w:tcPr>
            <w:tcW w:type="dxa" w:w="321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Primary signals</w:t>
            </w:r>
          </w:p>
        </w:tc>
      </w:tr>
      <w:tr>
        <w:tc>
          <w:tcPr>
            <w:tcW w:type="dxa" w:w="1800"/>
          </w:tcPr>
          <w:p>
            <w:pPr>
              <w:spacing w:after="0" w:line="252" w:lineRule="auto"/>
            </w:pPr>
            <w:r/>
            <w:r>
              <w:rPr>
                <w:rFonts w:ascii="Calibri" w:hAnsi="Calibri"/>
                <w:b w:val="0"/>
                <w:i w:val="0"/>
                <w:color w:val="0B2545"/>
                <w:sz w:val="17"/>
              </w:rPr>
              <w:t>Device fingerprint spoofing</w:t>
            </w:r>
          </w:p>
        </w:tc>
        <w:tc>
          <w:tcPr>
            <w:tcW w:type="dxa" w:w="950"/>
          </w:tcPr>
          <w:p>
            <w:pPr>
              <w:spacing w:after="0" w:line="252" w:lineRule="auto"/>
            </w:pPr>
            <w:r/>
            <w:r>
              <w:rPr>
                <w:rFonts w:ascii="Calibri" w:hAnsi="Calibri"/>
                <w:b w:val="0"/>
                <w:i w:val="0"/>
                <w:color w:val="0B2545"/>
                <w:sz w:val="17"/>
              </w:rPr>
              <w:t>Implemented</w:t>
            </w:r>
          </w:p>
        </w:tc>
        <w:tc>
          <w:tcPr>
            <w:tcW w:type="dxa" w:w="3400"/>
          </w:tcPr>
          <w:p>
            <w:pPr>
              <w:spacing w:after="0" w:line="252" w:lineRule="auto"/>
            </w:pPr>
            <w:r/>
            <w:r>
              <w:rPr>
                <w:rFonts w:ascii="Calibri" w:hAnsi="Calibri"/>
                <w:b w:val="0"/>
                <w:i w:val="0"/>
                <w:color w:val="0B2545"/>
                <w:sz w:val="17"/>
              </w:rPr>
              <w:t>Rotates or spoofs device attributes to reduce continuity signals.</w:t>
            </w:r>
          </w:p>
        </w:tc>
        <w:tc>
          <w:tcPr>
            <w:tcW w:type="dxa" w:w="3210"/>
          </w:tcPr>
          <w:p>
            <w:pPr>
              <w:spacing w:after="0" w:line="252" w:lineRule="auto"/>
            </w:pPr>
            <w:r/>
            <w:r>
              <w:rPr>
                <w:rFonts w:ascii="Calibri" w:hAnsi="Calibri"/>
                <w:b w:val="0"/>
                <w:i w:val="0"/>
                <w:color w:val="0B2545"/>
                <w:sz w:val="17"/>
              </w:rPr>
              <w:t>Device trust, device reuse, IP/device consistency</w:t>
            </w:r>
          </w:p>
        </w:tc>
      </w:tr>
      <w:tr>
        <w:tc>
          <w:tcPr>
            <w:tcW w:type="dxa" w:w="1800"/>
          </w:tcPr>
          <w:p>
            <w:pPr>
              <w:spacing w:after="0" w:line="252" w:lineRule="auto"/>
            </w:pPr>
            <w:r/>
            <w:r>
              <w:rPr>
                <w:rFonts w:ascii="Calibri" w:hAnsi="Calibri"/>
                <w:b w:val="0"/>
                <w:i w:val="0"/>
                <w:color w:val="0B2545"/>
                <w:sz w:val="17"/>
              </w:rPr>
              <w:t>Behavioral mimicry</w:t>
            </w:r>
          </w:p>
        </w:tc>
        <w:tc>
          <w:tcPr>
            <w:tcW w:type="dxa" w:w="950"/>
          </w:tcPr>
          <w:p>
            <w:pPr>
              <w:spacing w:after="0" w:line="252" w:lineRule="auto"/>
            </w:pPr>
            <w:r/>
            <w:r>
              <w:rPr>
                <w:rFonts w:ascii="Calibri" w:hAnsi="Calibri"/>
                <w:b w:val="0"/>
                <w:i w:val="0"/>
                <w:color w:val="0B2545"/>
                <w:sz w:val="17"/>
              </w:rPr>
              <w:t>Implemented</w:t>
            </w:r>
          </w:p>
        </w:tc>
        <w:tc>
          <w:tcPr>
            <w:tcW w:type="dxa" w:w="3400"/>
          </w:tcPr>
          <w:p>
            <w:pPr>
              <w:spacing w:after="0" w:line="252" w:lineRule="auto"/>
            </w:pPr>
            <w:r/>
            <w:r>
              <w:rPr>
                <w:rFonts w:ascii="Calibri" w:hAnsi="Calibri"/>
                <w:b w:val="0"/>
                <w:i w:val="0"/>
                <w:color w:val="0B2545"/>
                <w:sz w:val="17"/>
              </w:rPr>
              <w:t>Makes timing and purchase patterns resemble an ordinary customer.</w:t>
            </w:r>
          </w:p>
        </w:tc>
        <w:tc>
          <w:tcPr>
            <w:tcW w:type="dxa" w:w="3210"/>
          </w:tcPr>
          <w:p>
            <w:pPr>
              <w:spacing w:after="0" w:line="252" w:lineRule="auto"/>
            </w:pPr>
            <w:r/>
            <w:r>
              <w:rPr>
                <w:rFonts w:ascii="Calibri" w:hAnsi="Calibri"/>
                <w:b w:val="0"/>
                <w:i w:val="0"/>
                <w:color w:val="0B2545"/>
                <w:sz w:val="17"/>
              </w:rPr>
              <w:t>Amount, hour, merchant and behavioral context</w:t>
            </w:r>
          </w:p>
        </w:tc>
      </w:tr>
      <w:tr>
        <w:tc>
          <w:tcPr>
            <w:tcW w:type="dxa" w:w="1800"/>
          </w:tcPr>
          <w:p>
            <w:pPr>
              <w:spacing w:after="0" w:line="252" w:lineRule="auto"/>
            </w:pPr>
            <w:r/>
            <w:r>
              <w:rPr>
                <w:rFonts w:ascii="Calibri" w:hAnsi="Calibri"/>
                <w:b w:val="0"/>
                <w:i w:val="0"/>
                <w:color w:val="0B2545"/>
                <w:sz w:val="17"/>
              </w:rPr>
              <w:t>Velocity burst</w:t>
            </w:r>
          </w:p>
        </w:tc>
        <w:tc>
          <w:tcPr>
            <w:tcW w:type="dxa" w:w="950"/>
          </w:tcPr>
          <w:p>
            <w:pPr>
              <w:spacing w:after="0" w:line="252" w:lineRule="auto"/>
            </w:pPr>
            <w:r/>
            <w:r>
              <w:rPr>
                <w:rFonts w:ascii="Calibri" w:hAnsi="Calibri"/>
                <w:b w:val="0"/>
                <w:i w:val="0"/>
                <w:color w:val="0B2545"/>
                <w:sz w:val="17"/>
              </w:rPr>
              <w:t>Implemented</w:t>
            </w:r>
          </w:p>
        </w:tc>
        <w:tc>
          <w:tcPr>
            <w:tcW w:type="dxa" w:w="3400"/>
          </w:tcPr>
          <w:p>
            <w:pPr>
              <w:spacing w:after="0" w:line="252" w:lineRule="auto"/>
            </w:pPr>
            <w:r/>
            <w:r>
              <w:rPr>
                <w:rFonts w:ascii="Calibri" w:hAnsi="Calibri"/>
                <w:b w:val="0"/>
                <w:i w:val="0"/>
                <w:color w:val="0B2545"/>
                <w:sz w:val="17"/>
              </w:rPr>
              <w:t>Creates rapid repeated transactions over a short window.</w:t>
            </w:r>
          </w:p>
        </w:tc>
        <w:tc>
          <w:tcPr>
            <w:tcW w:type="dxa" w:w="3210"/>
          </w:tcPr>
          <w:p>
            <w:pPr>
              <w:spacing w:after="0" w:line="252" w:lineRule="auto"/>
            </w:pPr>
            <w:r/>
            <w:r>
              <w:rPr>
                <w:rFonts w:ascii="Calibri" w:hAnsi="Calibri"/>
                <w:b w:val="0"/>
                <w:i w:val="0"/>
                <w:color w:val="0B2545"/>
                <w:sz w:val="17"/>
              </w:rPr>
              <w:t>Transaction count and time since prior transaction</w:t>
            </w:r>
          </w:p>
        </w:tc>
      </w:tr>
      <w:tr>
        <w:tc>
          <w:tcPr>
            <w:tcW w:type="dxa" w:w="1800"/>
          </w:tcPr>
          <w:p>
            <w:pPr>
              <w:spacing w:after="0" w:line="252" w:lineRule="auto"/>
            </w:pPr>
            <w:r/>
            <w:r>
              <w:rPr>
                <w:rFonts w:ascii="Calibri" w:hAnsi="Calibri"/>
                <w:b w:val="0"/>
                <w:i w:val="0"/>
                <w:color w:val="0B2545"/>
                <w:sz w:val="17"/>
              </w:rPr>
              <w:t>Hard Velocity</w:t>
            </w:r>
          </w:p>
        </w:tc>
        <w:tc>
          <w:tcPr>
            <w:tcW w:type="dxa" w:w="950"/>
          </w:tcPr>
          <w:p>
            <w:pPr>
              <w:spacing w:after="0" w:line="252" w:lineRule="auto"/>
            </w:pPr>
            <w:r/>
            <w:r>
              <w:rPr>
                <w:rFonts w:ascii="Calibri" w:hAnsi="Calibri"/>
                <w:b w:val="0"/>
                <w:i w:val="0"/>
                <w:color w:val="0B2545"/>
                <w:sz w:val="17"/>
              </w:rPr>
              <w:t>Implemented</w:t>
            </w:r>
          </w:p>
        </w:tc>
        <w:tc>
          <w:tcPr>
            <w:tcW w:type="dxa" w:w="3400"/>
          </w:tcPr>
          <w:p>
            <w:pPr>
              <w:spacing w:after="0" w:line="252" w:lineRule="auto"/>
            </w:pPr>
            <w:r/>
            <w:r>
              <w:rPr>
                <w:rFonts w:ascii="Calibri" w:hAnsi="Calibri"/>
                <w:b w:val="0"/>
                <w:i w:val="0"/>
                <w:color w:val="0B2545"/>
                <w:sz w:val="17"/>
              </w:rPr>
              <w:t>Constrains velocity patterns to be less obvious and closer to normal ranges.</w:t>
            </w:r>
          </w:p>
        </w:tc>
        <w:tc>
          <w:tcPr>
            <w:tcW w:type="dxa" w:w="3210"/>
          </w:tcPr>
          <w:p>
            <w:pPr>
              <w:spacing w:after="0" w:line="252" w:lineRule="auto"/>
            </w:pPr>
            <w:r/>
            <w:r>
              <w:rPr>
                <w:rFonts w:ascii="Calibri" w:hAnsi="Calibri"/>
                <w:b w:val="0"/>
                <w:i w:val="0"/>
                <w:color w:val="0B2545"/>
                <w:sz w:val="17"/>
              </w:rPr>
              <w:t>Velocity features and risk score threshold</w:t>
            </w:r>
          </w:p>
        </w:tc>
      </w:tr>
      <w:tr>
        <w:tc>
          <w:tcPr>
            <w:tcW w:type="dxa" w:w="1800"/>
          </w:tcPr>
          <w:p>
            <w:pPr>
              <w:spacing w:after="0" w:line="252" w:lineRule="auto"/>
            </w:pPr>
            <w:r/>
            <w:r>
              <w:rPr>
                <w:rFonts w:ascii="Calibri" w:hAnsi="Calibri"/>
                <w:b w:val="0"/>
                <w:i w:val="0"/>
                <w:color w:val="0B2545"/>
                <w:sz w:val="17"/>
              </w:rPr>
              <w:t>Stealth Velocity (v1/v2)</w:t>
            </w:r>
          </w:p>
        </w:tc>
        <w:tc>
          <w:tcPr>
            <w:tcW w:type="dxa" w:w="950"/>
          </w:tcPr>
          <w:p>
            <w:pPr>
              <w:spacing w:after="0" w:line="252" w:lineRule="auto"/>
            </w:pPr>
            <w:r/>
            <w:r>
              <w:rPr>
                <w:rFonts w:ascii="Calibri" w:hAnsi="Calibri"/>
                <w:b w:val="0"/>
                <w:i w:val="0"/>
                <w:color w:val="0B2545"/>
                <w:sz w:val="17"/>
              </w:rPr>
              <w:t>Implemented</w:t>
            </w:r>
          </w:p>
        </w:tc>
        <w:tc>
          <w:tcPr>
            <w:tcW w:type="dxa" w:w="3400"/>
          </w:tcPr>
          <w:p>
            <w:pPr>
              <w:spacing w:after="0" w:line="252" w:lineRule="auto"/>
            </w:pPr>
            <w:r/>
            <w:r>
              <w:rPr>
                <w:rFonts w:ascii="Calibri" w:hAnsi="Calibri"/>
                <w:b w:val="0"/>
                <w:i w:val="0"/>
                <w:color w:val="0B2545"/>
                <w:sz w:val="17"/>
              </w:rPr>
              <w:t>Uses low-and-slow transaction spacing and adaptive templates; v2 was the unseen final evaluation distribution.</w:t>
            </w:r>
          </w:p>
        </w:tc>
        <w:tc>
          <w:tcPr>
            <w:tcW w:type="dxa" w:w="3210"/>
          </w:tcPr>
          <w:p>
            <w:pPr>
              <w:spacing w:after="0" w:line="252" w:lineRule="auto"/>
            </w:pPr>
            <w:r/>
            <w:r>
              <w:rPr>
                <w:rFonts w:ascii="Calibri" w:hAnsi="Calibri"/>
                <w:b w:val="0"/>
                <w:i w:val="0"/>
                <w:color w:val="0B2545"/>
                <w:sz w:val="17"/>
              </w:rPr>
              <w:t>Combined velocity, behavior, device, and merchant signals</w:t>
            </w:r>
          </w:p>
        </w:tc>
      </w:tr>
      <w:tr>
        <w:tc>
          <w:tcPr>
            <w:tcW w:type="dxa" w:w="1800"/>
          </w:tcPr>
          <w:p>
            <w:pPr>
              <w:spacing w:after="0" w:line="252" w:lineRule="auto"/>
            </w:pPr>
            <w:r/>
            <w:r>
              <w:rPr>
                <w:rFonts w:ascii="Calibri" w:hAnsi="Calibri"/>
                <w:b w:val="0"/>
                <w:i w:val="0"/>
                <w:color w:val="0B2545"/>
                <w:sz w:val="17"/>
              </w:rPr>
              <w:t>Account takeover</w:t>
            </w:r>
          </w:p>
        </w:tc>
        <w:tc>
          <w:tcPr>
            <w:tcW w:type="dxa" w:w="950"/>
          </w:tcPr>
          <w:p>
            <w:pPr>
              <w:spacing w:after="0" w:line="252" w:lineRule="auto"/>
            </w:pPr>
            <w:r/>
            <w:r>
              <w:rPr>
                <w:rFonts w:ascii="Calibri" w:hAnsi="Calibri"/>
                <w:b w:val="0"/>
                <w:i w:val="0"/>
                <w:color w:val="0B2545"/>
                <w:sz w:val="17"/>
              </w:rPr>
              <w:t>Future extension</w:t>
            </w:r>
          </w:p>
        </w:tc>
        <w:tc>
          <w:tcPr>
            <w:tcW w:type="dxa" w:w="3400"/>
          </w:tcPr>
          <w:p>
            <w:pPr>
              <w:spacing w:after="0" w:line="252" w:lineRule="auto"/>
            </w:pPr>
            <w:r/>
            <w:r>
              <w:rPr>
                <w:rFonts w:ascii="Calibri" w:hAnsi="Calibri"/>
                <w:b w:val="0"/>
                <w:i w:val="0"/>
                <w:color w:val="0B2545"/>
                <w:sz w:val="17"/>
              </w:rPr>
              <w:t>Credential compromise followed by account behavior drift and new-device activity.</w:t>
            </w:r>
          </w:p>
        </w:tc>
        <w:tc>
          <w:tcPr>
            <w:tcW w:type="dxa" w:w="3210"/>
          </w:tcPr>
          <w:p>
            <w:pPr>
              <w:spacing w:after="0" w:line="252" w:lineRule="auto"/>
            </w:pPr>
            <w:r/>
            <w:r>
              <w:rPr>
                <w:rFonts w:ascii="Calibri" w:hAnsi="Calibri"/>
                <w:b w:val="0"/>
                <w:i w:val="0"/>
                <w:color w:val="0B2545"/>
                <w:sz w:val="17"/>
              </w:rPr>
              <w:t>Authentication, session, profile-change events</w:t>
            </w:r>
          </w:p>
        </w:tc>
      </w:tr>
      <w:tr>
        <w:tc>
          <w:tcPr>
            <w:tcW w:type="dxa" w:w="1800"/>
          </w:tcPr>
          <w:p>
            <w:pPr>
              <w:spacing w:after="0" w:line="252" w:lineRule="auto"/>
            </w:pPr>
            <w:r/>
            <w:r>
              <w:rPr>
                <w:rFonts w:ascii="Calibri" w:hAnsi="Calibri"/>
                <w:b w:val="0"/>
                <w:i w:val="0"/>
                <w:color w:val="0B2545"/>
                <w:sz w:val="17"/>
              </w:rPr>
              <w:t>Mule-network coordination</w:t>
            </w:r>
          </w:p>
        </w:tc>
        <w:tc>
          <w:tcPr>
            <w:tcW w:type="dxa" w:w="950"/>
          </w:tcPr>
          <w:p>
            <w:pPr>
              <w:spacing w:after="0" w:line="252" w:lineRule="auto"/>
            </w:pPr>
            <w:r/>
            <w:r>
              <w:rPr>
                <w:rFonts w:ascii="Calibri" w:hAnsi="Calibri"/>
                <w:b w:val="0"/>
                <w:i w:val="0"/>
                <w:color w:val="0B2545"/>
                <w:sz w:val="17"/>
              </w:rPr>
              <w:t>Future extension</w:t>
            </w:r>
          </w:p>
        </w:tc>
        <w:tc>
          <w:tcPr>
            <w:tcW w:type="dxa" w:w="3400"/>
          </w:tcPr>
          <w:p>
            <w:pPr>
              <w:spacing w:after="0" w:line="252" w:lineRule="auto"/>
            </w:pPr>
            <w:r/>
            <w:r>
              <w:rPr>
                <w:rFonts w:ascii="Calibri" w:hAnsi="Calibri"/>
                <w:b w:val="0"/>
                <w:i w:val="0"/>
                <w:color w:val="0B2545"/>
                <w:sz w:val="17"/>
              </w:rPr>
              <w:t>Many accounts funnel value through shared devices, recipients, or timing windows.</w:t>
            </w:r>
          </w:p>
        </w:tc>
        <w:tc>
          <w:tcPr>
            <w:tcW w:type="dxa" w:w="3210"/>
          </w:tcPr>
          <w:p>
            <w:pPr>
              <w:spacing w:after="0" w:line="252" w:lineRule="auto"/>
            </w:pPr>
            <w:r/>
            <w:r>
              <w:rPr>
                <w:rFonts w:ascii="Calibri" w:hAnsi="Calibri"/>
                <w:b w:val="0"/>
                <w:i w:val="0"/>
                <w:color w:val="0B2545"/>
                <w:sz w:val="17"/>
              </w:rPr>
              <w:t>Graph links, beneficiary and device clusters</w:t>
            </w:r>
          </w:p>
        </w:tc>
      </w:tr>
      <w:tr>
        <w:tc>
          <w:tcPr>
            <w:tcW w:type="dxa" w:w="1800"/>
          </w:tcPr>
          <w:p>
            <w:pPr>
              <w:spacing w:after="0" w:line="252" w:lineRule="auto"/>
            </w:pPr>
            <w:r/>
            <w:r>
              <w:rPr>
                <w:rFonts w:ascii="Calibri" w:hAnsi="Calibri"/>
                <w:b w:val="0"/>
                <w:i w:val="0"/>
                <w:color w:val="0B2545"/>
                <w:sz w:val="17"/>
              </w:rPr>
              <w:t>Merchant collusion</w:t>
            </w:r>
          </w:p>
        </w:tc>
        <w:tc>
          <w:tcPr>
            <w:tcW w:type="dxa" w:w="950"/>
          </w:tcPr>
          <w:p>
            <w:pPr>
              <w:spacing w:after="0" w:line="252" w:lineRule="auto"/>
            </w:pPr>
            <w:r/>
            <w:r>
              <w:rPr>
                <w:rFonts w:ascii="Calibri" w:hAnsi="Calibri"/>
                <w:b w:val="0"/>
                <w:i w:val="0"/>
                <w:color w:val="0B2545"/>
                <w:sz w:val="17"/>
              </w:rPr>
              <w:t>Future extension</w:t>
            </w:r>
          </w:p>
        </w:tc>
        <w:tc>
          <w:tcPr>
            <w:tcW w:type="dxa" w:w="3400"/>
          </w:tcPr>
          <w:p>
            <w:pPr>
              <w:spacing w:after="0" w:line="252" w:lineRule="auto"/>
            </w:pPr>
            <w:r/>
            <w:r>
              <w:rPr>
                <w:rFonts w:ascii="Calibri" w:hAnsi="Calibri"/>
                <w:b w:val="0"/>
                <w:i w:val="0"/>
                <w:color w:val="0B2545"/>
                <w:sz w:val="17"/>
              </w:rPr>
              <w:t>Coordinated merchant and payer behavior masks illicit payment patterns.</w:t>
            </w:r>
          </w:p>
        </w:tc>
        <w:tc>
          <w:tcPr>
            <w:tcW w:type="dxa" w:w="3210"/>
          </w:tcPr>
          <w:p>
            <w:pPr>
              <w:spacing w:after="0" w:line="252" w:lineRule="auto"/>
            </w:pPr>
            <w:r/>
            <w:r>
              <w:rPr>
                <w:rFonts w:ascii="Calibri" w:hAnsi="Calibri"/>
                <w:b w:val="0"/>
                <w:i w:val="0"/>
                <w:color w:val="0B2545"/>
                <w:sz w:val="17"/>
              </w:rPr>
              <w:t>Merchant network, chargeback and settlement signals</w:t>
            </w:r>
          </w:p>
        </w:tc>
      </w:tr>
      <w:tr>
        <w:tc>
          <w:tcPr>
            <w:tcW w:type="dxa" w:w="1800"/>
          </w:tcPr>
          <w:p>
            <w:pPr>
              <w:spacing w:after="0" w:line="252" w:lineRule="auto"/>
            </w:pPr>
            <w:r/>
            <w:r>
              <w:rPr>
                <w:rFonts w:ascii="Calibri" w:hAnsi="Calibri"/>
                <w:b w:val="0"/>
                <w:i w:val="0"/>
                <w:color w:val="0B2545"/>
                <w:sz w:val="17"/>
              </w:rPr>
              <w:t>Synthetic identity</w:t>
            </w:r>
          </w:p>
        </w:tc>
        <w:tc>
          <w:tcPr>
            <w:tcW w:type="dxa" w:w="950"/>
          </w:tcPr>
          <w:p>
            <w:pPr>
              <w:spacing w:after="0" w:line="252" w:lineRule="auto"/>
            </w:pPr>
            <w:r/>
            <w:r>
              <w:rPr>
                <w:rFonts w:ascii="Calibri" w:hAnsi="Calibri"/>
                <w:b w:val="0"/>
                <w:i w:val="0"/>
                <w:color w:val="0B2545"/>
                <w:sz w:val="17"/>
              </w:rPr>
              <w:t>Future extension</w:t>
            </w:r>
          </w:p>
        </w:tc>
        <w:tc>
          <w:tcPr>
            <w:tcW w:type="dxa" w:w="3400"/>
          </w:tcPr>
          <w:p>
            <w:pPr>
              <w:spacing w:after="0" w:line="252" w:lineRule="auto"/>
            </w:pPr>
            <w:r/>
            <w:r>
              <w:rPr>
                <w:rFonts w:ascii="Calibri" w:hAnsi="Calibri"/>
                <w:b w:val="0"/>
                <w:i w:val="0"/>
                <w:color w:val="0B2545"/>
                <w:sz w:val="17"/>
              </w:rPr>
              <w:t>Gradual account maturation using partially fabricated identity attributes.</w:t>
            </w:r>
          </w:p>
        </w:tc>
        <w:tc>
          <w:tcPr>
            <w:tcW w:type="dxa" w:w="3210"/>
          </w:tcPr>
          <w:p>
            <w:pPr>
              <w:spacing w:after="0" w:line="252" w:lineRule="auto"/>
            </w:pPr>
            <w:r/>
            <w:r>
              <w:rPr>
                <w:rFonts w:ascii="Calibri" w:hAnsi="Calibri"/>
                <w:b w:val="0"/>
                <w:i w:val="0"/>
                <w:color w:val="0B2545"/>
                <w:sz w:val="17"/>
              </w:rPr>
              <w:t>Identity verification and longitudinal history</w:t>
            </w:r>
          </w:p>
        </w:tc>
      </w:tr>
      <w:tr>
        <w:tc>
          <w:tcPr>
            <w:tcW w:type="dxa" w:w="1800"/>
          </w:tcPr>
          <w:p>
            <w:pPr>
              <w:spacing w:after="0" w:line="252" w:lineRule="auto"/>
            </w:pPr>
            <w:r/>
            <w:r>
              <w:rPr>
                <w:rFonts w:ascii="Calibri" w:hAnsi="Calibri"/>
                <w:b w:val="0"/>
                <w:i w:val="0"/>
                <w:color w:val="0B2545"/>
                <w:sz w:val="17"/>
              </w:rPr>
              <w:t>Cross-border laundering</w:t>
            </w:r>
          </w:p>
        </w:tc>
        <w:tc>
          <w:tcPr>
            <w:tcW w:type="dxa" w:w="950"/>
          </w:tcPr>
          <w:p>
            <w:pPr>
              <w:spacing w:after="0" w:line="252" w:lineRule="auto"/>
            </w:pPr>
            <w:r/>
            <w:r>
              <w:rPr>
                <w:rFonts w:ascii="Calibri" w:hAnsi="Calibri"/>
                <w:b w:val="0"/>
                <w:i w:val="0"/>
                <w:color w:val="0B2545"/>
                <w:sz w:val="17"/>
              </w:rPr>
              <w:t>Future extension</w:t>
            </w:r>
          </w:p>
        </w:tc>
        <w:tc>
          <w:tcPr>
            <w:tcW w:type="dxa" w:w="3400"/>
          </w:tcPr>
          <w:p>
            <w:pPr>
              <w:spacing w:after="0" w:line="252" w:lineRule="auto"/>
            </w:pPr>
            <w:r/>
            <w:r>
              <w:rPr>
                <w:rFonts w:ascii="Calibri" w:hAnsi="Calibri"/>
                <w:b w:val="0"/>
                <w:i w:val="0"/>
                <w:color w:val="0B2545"/>
                <w:sz w:val="17"/>
              </w:rPr>
              <w:t>Multi-region routing and currency conversion obscure source and destination.</w:t>
            </w:r>
          </w:p>
        </w:tc>
        <w:tc>
          <w:tcPr>
            <w:tcW w:type="dxa" w:w="3210"/>
          </w:tcPr>
          <w:p>
            <w:pPr>
              <w:spacing w:after="0" w:line="252" w:lineRule="auto"/>
            </w:pPr>
            <w:r/>
            <w:r>
              <w:rPr>
                <w:rFonts w:ascii="Calibri" w:hAnsi="Calibri"/>
                <w:b w:val="0"/>
                <w:i w:val="0"/>
                <w:color w:val="0B2545"/>
                <w:sz w:val="17"/>
              </w:rPr>
              <w:t>Geography, FX, sanctions and recipient relationships</w:t>
            </w:r>
          </w:p>
        </w:tc>
      </w:tr>
    </w:tbl>
    <w:p>
      <w:pPr>
        <w:pStyle w:val="Heading1"/>
        <w:keepNext/>
      </w:pPr>
      <w:r>
        <w:t>4. Red Team: Attack Generation and Simulation</w:t>
      </w:r>
    </w:p>
    <w:p>
      <w:pPr>
        <w:spacing w:after="120"/>
      </w:pPr>
      <w:r>
        <w:rPr>
          <w:rFonts w:ascii="Calibri" w:hAnsi="Calibri"/>
          <w:b w:val="0"/>
          <w:i w:val="0"/>
          <w:color w:val="0B2545"/>
          <w:sz w:val="22"/>
        </w:rPr>
        <w:t>The Red Team starts from synthetic payment-transaction templates that represent ordinary activity, then applies targeted perturbations. Templates preserve a coherent record across amount, timing, device, merchant, behavioral, and velocity dimensions rather than changing a single field in isolation.</w:t>
      </w:r>
    </w:p>
    <w:p>
      <w:pPr>
        <w:pStyle w:val="Heading2"/>
        <w:keepNext/>
      </w:pPr>
      <w:r>
        <w:t>Generation workflow</w:t>
      </w:r>
    </w:p>
    <w:p>
      <w:pPr>
        <w:pStyle w:val="ListNumber"/>
        <w:spacing w:after="80" w:line="290" w:lineRule="auto"/>
        <w:ind w:left="540" w:hanging="279"/>
      </w:pPr>
      <w:r>
        <w:rPr>
          <w:rFonts w:ascii="Calibri" w:hAnsi="Calibri"/>
          <w:b w:val="0"/>
          <w:i w:val="0"/>
          <w:color w:val="0B2545"/>
          <w:sz w:val="22"/>
        </w:rPr>
        <w:t>Create normal templates: sample baseline customer, merchant, device, amount, transaction-time, and history patterns.</w:t>
      </w:r>
    </w:p>
    <w:p>
      <w:pPr>
        <w:pStyle w:val="ListNumber"/>
        <w:spacing w:after="80" w:line="290" w:lineRule="auto"/>
        <w:ind w:left="540" w:hanging="279"/>
      </w:pPr>
      <w:r>
        <w:rPr>
          <w:rFonts w:ascii="Calibri" w:hAnsi="Calibri"/>
          <w:b w:val="0"/>
          <w:i w:val="0"/>
          <w:color w:val="0B2545"/>
          <w:sz w:val="22"/>
        </w:rPr>
        <w:t>Select an attack family: apply a defined manipulation to the relevant feature group while preserving plausible cross-feature relationships.</w:t>
      </w:r>
    </w:p>
    <w:p>
      <w:pPr>
        <w:pStyle w:val="ListNumber"/>
        <w:spacing w:after="80" w:line="290" w:lineRule="auto"/>
        <w:ind w:left="540" w:hanging="279"/>
      </w:pPr>
      <w:r>
        <w:rPr>
          <w:rFonts w:ascii="Calibri" w:hAnsi="Calibri"/>
          <w:b w:val="0"/>
          <w:i w:val="0"/>
          <w:color w:val="0B2545"/>
          <w:sz w:val="22"/>
        </w:rPr>
        <w:t>Generate difficulty variants: standard variants show obvious signal; hard variants narrow the difference from normal; stealth variants distribute the attack over time and mimic normal behavior.</w:t>
      </w:r>
    </w:p>
    <w:p>
      <w:pPr>
        <w:pStyle w:val="ListNumber"/>
        <w:spacing w:after="80" w:line="290" w:lineRule="auto"/>
        <w:ind w:left="540" w:hanging="279"/>
      </w:pPr>
      <w:r>
        <w:rPr>
          <w:rFonts w:ascii="Calibri" w:hAnsi="Calibri"/>
          <w:b w:val="0"/>
          <w:i w:val="0"/>
          <w:color w:val="0B2545"/>
          <w:sz w:val="22"/>
        </w:rPr>
        <w:t>Run adaptive rounds: aggregate misses, identify vulnerable regions, create a harder distribution, retrain, then test against a separately generated unseen distribution.</w:t>
      </w:r>
    </w:p>
    <w:p>
      <w:pPr>
        <w:pStyle w:val="Heading2"/>
        <w:keepNext/>
      </w:pPr>
      <w:r>
        <w:t>Variant logic</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Variant</w:t>
            </w:r>
          </w:p>
        </w:tc>
        <w:tc>
          <w:tcPr>
            <w:tcW w:type="dxa" w:w="756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Purpose in the simulation</w:t>
            </w:r>
          </w:p>
        </w:tc>
      </w:tr>
      <w:tr>
        <w:tc>
          <w:tcPr>
            <w:tcW w:type="dxa" w:w="1800"/>
          </w:tcPr>
          <w:p>
            <w:pPr>
              <w:spacing w:after="0" w:line="252" w:lineRule="auto"/>
            </w:pPr>
            <w:r/>
            <w:r>
              <w:rPr>
                <w:rFonts w:ascii="Calibri" w:hAnsi="Calibri"/>
                <w:b w:val="0"/>
                <w:i w:val="0"/>
                <w:color w:val="0B2545"/>
                <w:sz w:val="18"/>
              </w:rPr>
              <w:t>Standard</w:t>
            </w:r>
          </w:p>
        </w:tc>
        <w:tc>
          <w:tcPr>
            <w:tcW w:type="dxa" w:w="7560"/>
          </w:tcPr>
          <w:p>
            <w:pPr>
              <w:spacing w:after="0" w:line="252" w:lineRule="auto"/>
            </w:pPr>
            <w:r/>
            <w:r>
              <w:rPr>
                <w:rFonts w:ascii="Calibri" w:hAnsi="Calibri"/>
                <w:b w:val="0"/>
                <w:i w:val="0"/>
                <w:color w:val="0B2545"/>
                <w:sz w:val="18"/>
              </w:rPr>
              <w:t>Clear deviation from baseline behavior; used to verify that the detector learns core fraud signatures.</w:t>
            </w:r>
          </w:p>
        </w:tc>
      </w:tr>
      <w:tr>
        <w:tc>
          <w:tcPr>
            <w:tcW w:type="dxa" w:w="1800"/>
          </w:tcPr>
          <w:p>
            <w:pPr>
              <w:spacing w:after="0" w:line="252" w:lineRule="auto"/>
            </w:pPr>
            <w:r/>
            <w:r>
              <w:rPr>
                <w:rFonts w:ascii="Calibri" w:hAnsi="Calibri"/>
                <w:b w:val="0"/>
                <w:i w:val="0"/>
                <w:color w:val="0B2545"/>
                <w:sz w:val="18"/>
              </w:rPr>
              <w:t>Hard</w:t>
            </w:r>
          </w:p>
        </w:tc>
        <w:tc>
          <w:tcPr>
            <w:tcW w:type="dxa" w:w="7560"/>
          </w:tcPr>
          <w:p>
            <w:pPr>
              <w:spacing w:after="0" w:line="252" w:lineRule="auto"/>
            </w:pPr>
            <w:r/>
            <w:r>
              <w:rPr>
                <w:rFonts w:ascii="Calibri" w:hAnsi="Calibri"/>
                <w:b w:val="0"/>
                <w:i w:val="0"/>
                <w:color w:val="0B2545"/>
                <w:sz w:val="18"/>
              </w:rPr>
              <w:t>Reduced separation from normal behavior; tests whether the model can detect nuanced shifts rather than only obvious outliers.</w:t>
            </w:r>
          </w:p>
        </w:tc>
      </w:tr>
      <w:tr>
        <w:tc>
          <w:tcPr>
            <w:tcW w:type="dxa" w:w="1800"/>
          </w:tcPr>
          <w:p>
            <w:pPr>
              <w:spacing w:after="0" w:line="252" w:lineRule="auto"/>
            </w:pPr>
            <w:r/>
            <w:r>
              <w:rPr>
                <w:rFonts w:ascii="Calibri" w:hAnsi="Calibri"/>
                <w:b w:val="0"/>
                <w:i w:val="0"/>
                <w:color w:val="0B2545"/>
                <w:sz w:val="18"/>
              </w:rPr>
              <w:t>Stealth</w:t>
            </w:r>
          </w:p>
        </w:tc>
        <w:tc>
          <w:tcPr>
            <w:tcW w:type="dxa" w:w="7560"/>
          </w:tcPr>
          <w:p>
            <w:pPr>
              <w:spacing w:after="0" w:line="252" w:lineRule="auto"/>
            </w:pPr>
            <w:r/>
            <w:r>
              <w:rPr>
                <w:rFonts w:ascii="Calibri" w:hAnsi="Calibri"/>
                <w:b w:val="0"/>
                <w:i w:val="0"/>
                <w:color w:val="0B2545"/>
                <w:sz w:val="18"/>
              </w:rPr>
              <w:t>Low-and-slow, behaviorally plausible patterns designed to evade static thresholds and broad aggregate metrics.</w:t>
            </w:r>
          </w:p>
        </w:tc>
      </w:tr>
      <w:tr>
        <w:tc>
          <w:tcPr>
            <w:tcW w:type="dxa" w:w="1800"/>
          </w:tcPr>
          <w:p>
            <w:pPr>
              <w:spacing w:after="0" w:line="252" w:lineRule="auto"/>
            </w:pPr>
            <w:r/>
            <w:r>
              <w:rPr>
                <w:rFonts w:ascii="Calibri" w:hAnsi="Calibri"/>
                <w:b w:val="0"/>
                <w:i w:val="0"/>
                <w:color w:val="0B2545"/>
                <w:sz w:val="18"/>
              </w:rPr>
              <w:t>Adaptive</w:t>
            </w:r>
          </w:p>
        </w:tc>
        <w:tc>
          <w:tcPr>
            <w:tcW w:type="dxa" w:w="7560"/>
          </w:tcPr>
          <w:p>
            <w:pPr>
              <w:spacing w:after="0" w:line="252" w:lineRule="auto"/>
            </w:pPr>
            <w:r/>
            <w:r>
              <w:rPr>
                <w:rFonts w:ascii="Calibri" w:hAnsi="Calibri"/>
                <w:b w:val="0"/>
                <w:i w:val="0"/>
                <w:color w:val="0B2545"/>
                <w:sz w:val="18"/>
              </w:rPr>
              <w:t>A new distribution informed by prior misses; evaluated with a held-out unseen attack set.</w:t>
            </w:r>
          </w:p>
        </w:tc>
      </w:tr>
    </w:tbl>
    <w:p>
      <w:pPr>
        <w:pStyle w:val="Heading1"/>
        <w:keepNext/>
      </w:pPr>
      <w:r>
        <w:t>5. Blue Team: Detection and Mitigation</w:t>
      </w:r>
    </w:p>
    <w:p>
      <w:pPr>
        <w:spacing w:after="120"/>
      </w:pPr>
      <w:r>
        <w:rPr>
          <w:rFonts w:ascii="Calibri" w:hAnsi="Calibri"/>
          <w:b w:val="0"/>
          <w:i w:val="0"/>
          <w:color w:val="0B2545"/>
          <w:sz w:val="22"/>
        </w:rPr>
        <w:t>The Blue Team uses a Random Forest classifier (v3) for structured transaction data. It was selected as a strong interpretable baseline for nonlinear tabular patterns and probability-based risk scoring. The model output feeds a dashboard that shows transaction-level risk and a recommended simulated action.</w:t>
      </w:r>
    </w:p>
    <w:p>
      <w:pPr>
        <w:pStyle w:val="Heading2"/>
        <w:keepNext/>
      </w:pPr>
      <w:r>
        <w:t>Model features (10)</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Feature</w:t>
            </w:r>
          </w:p>
        </w:tc>
        <w:tc>
          <w:tcPr>
            <w:tcW w:type="dxa" w:w="636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Why it matters</w:t>
            </w:r>
          </w:p>
        </w:tc>
      </w:tr>
      <w:tr>
        <w:tc>
          <w:tcPr>
            <w:tcW w:type="dxa" w:w="3000"/>
          </w:tcPr>
          <w:p>
            <w:pPr>
              <w:spacing w:after="0" w:line="252" w:lineRule="auto"/>
            </w:pPr>
            <w:r/>
            <w:r>
              <w:rPr>
                <w:rFonts w:ascii="Calibri" w:hAnsi="Calibri"/>
                <w:b w:val="0"/>
                <w:i w:val="0"/>
                <w:color w:val="0B2545"/>
                <w:sz w:val="18"/>
              </w:rPr>
              <w:t>Transaction amount</w:t>
            </w:r>
          </w:p>
        </w:tc>
        <w:tc>
          <w:tcPr>
            <w:tcW w:type="dxa" w:w="6360"/>
          </w:tcPr>
          <w:p>
            <w:pPr>
              <w:spacing w:after="0" w:line="252" w:lineRule="auto"/>
            </w:pPr>
            <w:r/>
            <w:r>
              <w:rPr>
                <w:rFonts w:ascii="Calibri" w:hAnsi="Calibri"/>
                <w:b w:val="0"/>
                <w:i w:val="0"/>
                <w:color w:val="0B2545"/>
                <w:sz w:val="18"/>
              </w:rPr>
              <w:t>Monetary deviation from a customer or template baseline</w:t>
            </w:r>
          </w:p>
        </w:tc>
      </w:tr>
      <w:tr>
        <w:tc>
          <w:tcPr>
            <w:tcW w:type="dxa" w:w="3000"/>
          </w:tcPr>
          <w:p>
            <w:pPr>
              <w:spacing w:after="0" w:line="252" w:lineRule="auto"/>
            </w:pPr>
            <w:r/>
            <w:r>
              <w:rPr>
                <w:rFonts w:ascii="Calibri" w:hAnsi="Calibri"/>
                <w:b w:val="0"/>
                <w:i w:val="0"/>
                <w:color w:val="0B2545"/>
                <w:sz w:val="18"/>
              </w:rPr>
              <w:t>Transaction hour</w:t>
            </w:r>
          </w:p>
        </w:tc>
        <w:tc>
          <w:tcPr>
            <w:tcW w:type="dxa" w:w="6360"/>
          </w:tcPr>
          <w:p>
            <w:pPr>
              <w:spacing w:after="0" w:line="252" w:lineRule="auto"/>
            </w:pPr>
            <w:r/>
            <w:r>
              <w:rPr>
                <w:rFonts w:ascii="Calibri" w:hAnsi="Calibri"/>
                <w:b w:val="0"/>
                <w:i w:val="0"/>
                <w:color w:val="0B2545"/>
                <w:sz w:val="18"/>
              </w:rPr>
              <w:t>Time-of-day consistency</w:t>
            </w:r>
          </w:p>
        </w:tc>
      </w:tr>
      <w:tr>
        <w:tc>
          <w:tcPr>
            <w:tcW w:type="dxa" w:w="3000"/>
          </w:tcPr>
          <w:p>
            <w:pPr>
              <w:spacing w:after="0" w:line="252" w:lineRule="auto"/>
            </w:pPr>
            <w:r/>
            <w:r>
              <w:rPr>
                <w:rFonts w:ascii="Calibri" w:hAnsi="Calibri"/>
                <w:b w:val="0"/>
                <w:i w:val="0"/>
                <w:color w:val="0B2545"/>
                <w:sz w:val="18"/>
              </w:rPr>
              <w:t>Merchant category</w:t>
            </w:r>
          </w:p>
        </w:tc>
        <w:tc>
          <w:tcPr>
            <w:tcW w:type="dxa" w:w="6360"/>
          </w:tcPr>
          <w:p>
            <w:pPr>
              <w:spacing w:after="0" w:line="252" w:lineRule="auto"/>
            </w:pPr>
            <w:r/>
            <w:r>
              <w:rPr>
                <w:rFonts w:ascii="Calibri" w:hAnsi="Calibri"/>
                <w:b w:val="0"/>
                <w:i w:val="0"/>
                <w:color w:val="0B2545"/>
                <w:sz w:val="18"/>
              </w:rPr>
              <w:t>Category risk and behavioral fit</w:t>
            </w:r>
          </w:p>
        </w:tc>
      </w:tr>
      <w:tr>
        <w:tc>
          <w:tcPr>
            <w:tcW w:type="dxa" w:w="3000"/>
          </w:tcPr>
          <w:p>
            <w:pPr>
              <w:spacing w:after="0" w:line="252" w:lineRule="auto"/>
            </w:pPr>
            <w:r/>
            <w:r>
              <w:rPr>
                <w:rFonts w:ascii="Calibri" w:hAnsi="Calibri"/>
                <w:b w:val="0"/>
                <w:i w:val="0"/>
                <w:color w:val="0B2545"/>
                <w:sz w:val="18"/>
              </w:rPr>
              <w:t>Transaction count</w:t>
            </w:r>
          </w:p>
        </w:tc>
        <w:tc>
          <w:tcPr>
            <w:tcW w:type="dxa" w:w="6360"/>
          </w:tcPr>
          <w:p>
            <w:pPr>
              <w:spacing w:after="0" w:line="252" w:lineRule="auto"/>
            </w:pPr>
            <w:r/>
            <w:r>
              <w:rPr>
                <w:rFonts w:ascii="Calibri" w:hAnsi="Calibri"/>
                <w:b w:val="0"/>
                <w:i w:val="0"/>
                <w:color w:val="0B2545"/>
                <w:sz w:val="18"/>
              </w:rPr>
              <w:t>Recent payment frequency</w:t>
            </w:r>
          </w:p>
        </w:tc>
      </w:tr>
      <w:tr>
        <w:tc>
          <w:tcPr>
            <w:tcW w:type="dxa" w:w="3000"/>
          </w:tcPr>
          <w:p>
            <w:pPr>
              <w:spacing w:after="0" w:line="252" w:lineRule="auto"/>
            </w:pPr>
            <w:r/>
            <w:r>
              <w:rPr>
                <w:rFonts w:ascii="Calibri" w:hAnsi="Calibri"/>
                <w:b w:val="0"/>
                <w:i w:val="0"/>
                <w:color w:val="0B2545"/>
                <w:sz w:val="18"/>
              </w:rPr>
              <w:t>Time since prior transaction</w:t>
            </w:r>
          </w:p>
        </w:tc>
        <w:tc>
          <w:tcPr>
            <w:tcW w:type="dxa" w:w="6360"/>
          </w:tcPr>
          <w:p>
            <w:pPr>
              <w:spacing w:after="0" w:line="252" w:lineRule="auto"/>
            </w:pPr>
            <w:r/>
            <w:r>
              <w:rPr>
                <w:rFonts w:ascii="Calibri" w:hAnsi="Calibri"/>
                <w:b w:val="0"/>
                <w:i w:val="0"/>
                <w:color w:val="0B2545"/>
                <w:sz w:val="18"/>
              </w:rPr>
              <w:t>Inter-transaction spacing</w:t>
            </w:r>
          </w:p>
        </w:tc>
      </w:tr>
      <w:tr>
        <w:tc>
          <w:tcPr>
            <w:tcW w:type="dxa" w:w="3000"/>
          </w:tcPr>
          <w:p>
            <w:pPr>
              <w:spacing w:after="0" w:line="252" w:lineRule="auto"/>
            </w:pPr>
            <w:r/>
            <w:r>
              <w:rPr>
                <w:rFonts w:ascii="Calibri" w:hAnsi="Calibri"/>
                <w:b w:val="0"/>
                <w:i w:val="0"/>
                <w:color w:val="0B2545"/>
                <w:sz w:val="18"/>
              </w:rPr>
              <w:t>Device trust score</w:t>
            </w:r>
          </w:p>
        </w:tc>
        <w:tc>
          <w:tcPr>
            <w:tcW w:type="dxa" w:w="6360"/>
          </w:tcPr>
          <w:p>
            <w:pPr>
              <w:spacing w:after="0" w:line="252" w:lineRule="auto"/>
            </w:pPr>
            <w:r/>
            <w:r>
              <w:rPr>
                <w:rFonts w:ascii="Calibri" w:hAnsi="Calibri"/>
                <w:b w:val="0"/>
                <w:i w:val="0"/>
                <w:color w:val="0B2545"/>
                <w:sz w:val="18"/>
              </w:rPr>
              <w:t>Continuity and trust of the device signal</w:t>
            </w:r>
          </w:p>
        </w:tc>
      </w:tr>
      <w:tr>
        <w:tc>
          <w:tcPr>
            <w:tcW w:type="dxa" w:w="3000"/>
          </w:tcPr>
          <w:p>
            <w:pPr>
              <w:spacing w:after="0" w:line="252" w:lineRule="auto"/>
            </w:pPr>
            <w:r/>
            <w:r>
              <w:rPr>
                <w:rFonts w:ascii="Calibri" w:hAnsi="Calibri"/>
                <w:b w:val="0"/>
                <w:i w:val="0"/>
                <w:color w:val="0B2545"/>
                <w:sz w:val="18"/>
              </w:rPr>
              <w:t>IP risk score</w:t>
            </w:r>
          </w:p>
        </w:tc>
        <w:tc>
          <w:tcPr>
            <w:tcW w:type="dxa" w:w="6360"/>
          </w:tcPr>
          <w:p>
            <w:pPr>
              <w:spacing w:after="0" w:line="252" w:lineRule="auto"/>
            </w:pPr>
            <w:r/>
            <w:r>
              <w:rPr>
                <w:rFonts w:ascii="Calibri" w:hAnsi="Calibri"/>
                <w:b w:val="0"/>
                <w:i w:val="0"/>
                <w:color w:val="0B2545"/>
                <w:sz w:val="18"/>
              </w:rPr>
              <w:t>Network/location risk indicator</w:t>
            </w:r>
          </w:p>
        </w:tc>
      </w:tr>
      <w:tr>
        <w:tc>
          <w:tcPr>
            <w:tcW w:type="dxa" w:w="3000"/>
          </w:tcPr>
          <w:p>
            <w:pPr>
              <w:spacing w:after="0" w:line="252" w:lineRule="auto"/>
            </w:pPr>
            <w:r/>
            <w:r>
              <w:rPr>
                <w:rFonts w:ascii="Calibri" w:hAnsi="Calibri"/>
                <w:b w:val="0"/>
                <w:i w:val="0"/>
                <w:color w:val="0B2545"/>
                <w:sz w:val="18"/>
              </w:rPr>
              <w:t>Behavioral risk score</w:t>
            </w:r>
          </w:p>
        </w:tc>
        <w:tc>
          <w:tcPr>
            <w:tcW w:type="dxa" w:w="6360"/>
          </w:tcPr>
          <w:p>
            <w:pPr>
              <w:spacing w:after="0" w:line="252" w:lineRule="auto"/>
            </w:pPr>
            <w:r/>
            <w:r>
              <w:rPr>
                <w:rFonts w:ascii="Calibri" w:hAnsi="Calibri"/>
                <w:b w:val="0"/>
                <w:i w:val="0"/>
                <w:color w:val="0B2545"/>
                <w:sz w:val="18"/>
              </w:rPr>
              <w:t>Deviation from learned customer behavior</w:t>
            </w:r>
          </w:p>
        </w:tc>
      </w:tr>
      <w:tr>
        <w:tc>
          <w:tcPr>
            <w:tcW w:type="dxa" w:w="3000"/>
          </w:tcPr>
          <w:p>
            <w:pPr>
              <w:spacing w:after="0" w:line="252" w:lineRule="auto"/>
            </w:pPr>
            <w:r/>
            <w:r>
              <w:rPr>
                <w:rFonts w:ascii="Calibri" w:hAnsi="Calibri"/>
                <w:b w:val="0"/>
                <w:i w:val="0"/>
                <w:color w:val="0B2545"/>
                <w:sz w:val="18"/>
              </w:rPr>
              <w:t>Merchant risk score</w:t>
            </w:r>
          </w:p>
        </w:tc>
        <w:tc>
          <w:tcPr>
            <w:tcW w:type="dxa" w:w="6360"/>
          </w:tcPr>
          <w:p>
            <w:pPr>
              <w:spacing w:after="0" w:line="252" w:lineRule="auto"/>
            </w:pPr>
            <w:r/>
            <w:r>
              <w:rPr>
                <w:rFonts w:ascii="Calibri" w:hAnsi="Calibri"/>
                <w:b w:val="0"/>
                <w:i w:val="0"/>
                <w:color w:val="0B2545"/>
                <w:sz w:val="18"/>
              </w:rPr>
              <w:t>Merchant-context risk indicator</w:t>
            </w:r>
          </w:p>
        </w:tc>
      </w:tr>
      <w:tr>
        <w:tc>
          <w:tcPr>
            <w:tcW w:type="dxa" w:w="3000"/>
          </w:tcPr>
          <w:p>
            <w:pPr>
              <w:spacing w:after="0" w:line="252" w:lineRule="auto"/>
            </w:pPr>
            <w:r/>
            <w:r>
              <w:rPr>
                <w:rFonts w:ascii="Calibri" w:hAnsi="Calibri"/>
                <w:b w:val="0"/>
                <w:i w:val="0"/>
                <w:color w:val="0B2545"/>
                <w:sz w:val="18"/>
              </w:rPr>
              <w:t>Account age</w:t>
            </w:r>
          </w:p>
        </w:tc>
        <w:tc>
          <w:tcPr>
            <w:tcW w:type="dxa" w:w="6360"/>
          </w:tcPr>
          <w:p>
            <w:pPr>
              <w:spacing w:after="0" w:line="252" w:lineRule="auto"/>
            </w:pPr>
            <w:r/>
            <w:r>
              <w:rPr>
                <w:rFonts w:ascii="Calibri" w:hAnsi="Calibri"/>
                <w:b w:val="0"/>
                <w:i w:val="0"/>
                <w:color w:val="0B2545"/>
                <w:sz w:val="18"/>
              </w:rPr>
              <w:t>Maturity of the account relationship</w:t>
            </w:r>
          </w:p>
        </w:tc>
      </w:tr>
    </w:tbl>
    <w:p>
      <w:pPr>
        <w:pStyle w:val="Heading2"/>
        <w:keepNext/>
      </w:pPr>
      <w:r>
        <w:t>Risk scoring and dashboard actions</w:t>
      </w:r>
    </w:p>
    <w:p>
      <w:pPr>
        <w:spacing w:after="100"/>
      </w:pPr>
      <w:r>
        <w:rPr>
          <w:rFonts w:ascii="Calibri" w:hAnsi="Calibri"/>
          <w:b w:val="0"/>
          <w:i w:val="0"/>
          <w:color w:val="0B2545"/>
          <w:sz w:val="22"/>
        </w:rPr>
        <w:t>The dashboard presents the model probability as a risk score and maps it to a prototype decision policy. Thresholds are illustrative; a production setting would calibrate them against loss, false-positive cost, customer friction, and regulatory controls.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2200"/>
        <w:gridCol w:w="5260"/>
      </w:tblGrid>
      <w:tr>
        <w:trPr>
          <w:tblHeader w:val="true"/>
        </w:trPr>
        <w:tc>
          <w:tcPr>
            <w:tcW w:type="dxa" w:w="19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Risk band</w:t>
            </w:r>
          </w:p>
        </w:tc>
        <w:tc>
          <w:tcPr>
            <w:tcW w:type="dxa" w:w="22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Prototype action</w:t>
            </w:r>
          </w:p>
        </w:tc>
        <w:tc>
          <w:tcPr>
            <w:tcW w:type="dxa" w:w="526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Operational intent</w:t>
            </w:r>
          </w:p>
        </w:tc>
      </w:tr>
      <w:tr>
        <w:tc>
          <w:tcPr>
            <w:tcW w:type="dxa" w:w="1900"/>
          </w:tcPr>
          <w:p>
            <w:pPr>
              <w:spacing w:after="0" w:line="252" w:lineRule="auto"/>
            </w:pPr>
            <w:r/>
            <w:r>
              <w:rPr>
                <w:rFonts w:ascii="Calibri" w:hAnsi="Calibri"/>
                <w:b w:val="0"/>
                <w:i w:val="0"/>
                <w:color w:val="0B2545"/>
                <w:sz w:val="18"/>
              </w:rPr>
              <w:t>Low risk</w:t>
            </w:r>
          </w:p>
        </w:tc>
        <w:tc>
          <w:tcPr>
            <w:tcW w:type="dxa" w:w="2200"/>
          </w:tcPr>
          <w:p>
            <w:pPr>
              <w:spacing w:after="0" w:line="252" w:lineRule="auto"/>
            </w:pPr>
            <w:r/>
            <w:r>
              <w:rPr>
                <w:rFonts w:ascii="Calibri" w:hAnsi="Calibri"/>
                <w:b w:val="0"/>
                <w:i w:val="0"/>
                <w:color w:val="0B2545"/>
                <w:sz w:val="18"/>
              </w:rPr>
              <w:t>Approve</w:t>
            </w:r>
          </w:p>
        </w:tc>
        <w:tc>
          <w:tcPr>
            <w:tcW w:type="dxa" w:w="5260"/>
          </w:tcPr>
          <w:p>
            <w:pPr>
              <w:spacing w:after="0" w:line="252" w:lineRule="auto"/>
            </w:pPr>
            <w:r/>
            <w:r>
              <w:rPr>
                <w:rFonts w:ascii="Calibri" w:hAnsi="Calibri"/>
                <w:b w:val="0"/>
                <w:i w:val="0"/>
                <w:color w:val="0B2545"/>
                <w:sz w:val="18"/>
              </w:rPr>
              <w:t>Maintain low friction; log outcome for monitoring.</w:t>
            </w:r>
          </w:p>
        </w:tc>
      </w:tr>
      <w:tr>
        <w:tc>
          <w:tcPr>
            <w:tcW w:type="dxa" w:w="1900"/>
          </w:tcPr>
          <w:p>
            <w:pPr>
              <w:spacing w:after="0" w:line="252" w:lineRule="auto"/>
            </w:pPr>
            <w:r/>
            <w:r>
              <w:rPr>
                <w:rFonts w:ascii="Calibri" w:hAnsi="Calibri"/>
                <w:b w:val="0"/>
                <w:i w:val="0"/>
                <w:color w:val="0B2545"/>
                <w:sz w:val="18"/>
              </w:rPr>
              <w:t>Medium risk</w:t>
            </w:r>
          </w:p>
        </w:tc>
        <w:tc>
          <w:tcPr>
            <w:tcW w:type="dxa" w:w="2200"/>
          </w:tcPr>
          <w:p>
            <w:pPr>
              <w:spacing w:after="0" w:line="252" w:lineRule="auto"/>
            </w:pPr>
            <w:r/>
            <w:r>
              <w:rPr>
                <w:rFonts w:ascii="Calibri" w:hAnsi="Calibri"/>
                <w:b w:val="0"/>
                <w:i w:val="0"/>
                <w:color w:val="0B2545"/>
                <w:sz w:val="18"/>
              </w:rPr>
              <w:t>Step-up / verify</w:t>
            </w:r>
          </w:p>
        </w:tc>
        <w:tc>
          <w:tcPr>
            <w:tcW w:type="dxa" w:w="5260"/>
          </w:tcPr>
          <w:p>
            <w:pPr>
              <w:spacing w:after="0" w:line="252" w:lineRule="auto"/>
            </w:pPr>
            <w:r/>
            <w:r>
              <w:rPr>
                <w:rFonts w:ascii="Calibri" w:hAnsi="Calibri"/>
                <w:b w:val="0"/>
                <w:i w:val="0"/>
                <w:color w:val="0B2545"/>
                <w:sz w:val="18"/>
              </w:rPr>
              <w:t>Request additional verification or route for review.</w:t>
            </w:r>
          </w:p>
        </w:tc>
      </w:tr>
      <w:tr>
        <w:tc>
          <w:tcPr>
            <w:tcW w:type="dxa" w:w="1900"/>
          </w:tcPr>
          <w:p>
            <w:pPr>
              <w:spacing w:after="0" w:line="252" w:lineRule="auto"/>
            </w:pPr>
            <w:r/>
            <w:r>
              <w:rPr>
                <w:rFonts w:ascii="Calibri" w:hAnsi="Calibri"/>
                <w:b w:val="0"/>
                <w:i w:val="0"/>
                <w:color w:val="0B2545"/>
                <w:sz w:val="18"/>
              </w:rPr>
              <w:t>High risk</w:t>
            </w:r>
          </w:p>
        </w:tc>
        <w:tc>
          <w:tcPr>
            <w:tcW w:type="dxa" w:w="2200"/>
          </w:tcPr>
          <w:p>
            <w:pPr>
              <w:spacing w:after="0" w:line="252" w:lineRule="auto"/>
            </w:pPr>
            <w:r/>
            <w:r>
              <w:rPr>
                <w:rFonts w:ascii="Calibri" w:hAnsi="Calibri"/>
                <w:b w:val="0"/>
                <w:i w:val="0"/>
                <w:color w:val="0B2545"/>
                <w:sz w:val="18"/>
              </w:rPr>
              <w:t>Decline / hold</w:t>
            </w:r>
          </w:p>
        </w:tc>
        <w:tc>
          <w:tcPr>
            <w:tcW w:type="dxa" w:w="5260"/>
          </w:tcPr>
          <w:p>
            <w:pPr>
              <w:spacing w:after="0" w:line="252" w:lineRule="auto"/>
            </w:pPr>
            <w:r/>
            <w:r>
              <w:rPr>
                <w:rFonts w:ascii="Calibri" w:hAnsi="Calibri"/>
                <w:b w:val="0"/>
                <w:i w:val="0"/>
                <w:color w:val="0B2545"/>
                <w:sz w:val="18"/>
              </w:rPr>
              <w:t>Block or hold pending investigation, subject to policy and human oversight.</w:t>
            </w:r>
          </w:p>
        </w:tc>
      </w:tr>
    </w:tbl>
    <w:p>
      <w:pPr>
        <w:pStyle w:val="Heading1"/>
        <w:keepNext/>
      </w:pPr>
      <w:r>
        <w:t>6. Methodology and Efficacy Results</w:t>
      </w:r>
    </w:p>
    <w:p>
      <w:pPr>
        <w:spacing w:after="120"/>
      </w:pPr>
      <w:r>
        <w:rPr>
          <w:rFonts w:ascii="Calibri" w:hAnsi="Calibri"/>
          <w:b w:val="0"/>
          <w:i w:val="0"/>
          <w:color w:val="0B2545"/>
          <w:sz w:val="22"/>
        </w:rPr>
        <w:t>Metrics are reported from controlled synthetic datasets. Accuracy is shown for completeness, while fraud recall and F1 are emphasized because fraud detection is affected by class imbalance and the cost of missed fraud. ROC-AUC measures ranking quality across thresholds.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250"/>
        <w:gridCol w:w="1050"/>
        <w:gridCol w:w="1250"/>
        <w:gridCol w:w="1050"/>
        <w:gridCol w:w="1050"/>
        <w:gridCol w:w="2710"/>
      </w:tblGrid>
      <w:tr>
        <w:trPr>
          <w:tblHeader w:val="true"/>
        </w:trPr>
        <w:tc>
          <w:tcPr>
            <w:tcW w:type="dxa" w:w="22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Evaluation</w:t>
            </w:r>
          </w:p>
        </w:tc>
        <w:tc>
          <w:tcPr>
            <w:tcW w:type="dxa" w:w="10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Accuracy</w:t>
            </w:r>
          </w:p>
        </w:tc>
        <w:tc>
          <w:tcPr>
            <w:tcW w:type="dxa" w:w="12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Fraud recall</w:t>
            </w:r>
          </w:p>
        </w:tc>
        <w:tc>
          <w:tcPr>
            <w:tcW w:type="dxa" w:w="10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Fraud F1</w:t>
            </w:r>
          </w:p>
        </w:tc>
        <w:tc>
          <w:tcPr>
            <w:tcW w:type="dxa" w:w="10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ROC-AUC</w:t>
            </w:r>
          </w:p>
        </w:tc>
        <w:tc>
          <w:tcPr>
            <w:tcW w:type="dxa" w:w="271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Interpretation</w:t>
            </w:r>
          </w:p>
        </w:tc>
      </w:tr>
      <w:tr>
        <w:tc>
          <w:tcPr>
            <w:tcW w:type="dxa" w:w="2250"/>
          </w:tcPr>
          <w:p>
            <w:pPr>
              <w:spacing w:after="0" w:line="252" w:lineRule="auto"/>
            </w:pPr>
            <w:r/>
            <w:r>
              <w:rPr>
                <w:rFonts w:ascii="Calibri" w:hAnsi="Calibri"/>
                <w:b w:val="0"/>
                <w:i w:val="0"/>
                <w:color w:val="0B2545"/>
                <w:sz w:val="18"/>
              </w:rPr>
              <w:t>Baseline validation</w:t>
            </w:r>
          </w:p>
        </w:tc>
        <w:tc>
          <w:tcPr>
            <w:tcW w:type="dxa" w:w="1050"/>
          </w:tcPr>
          <w:p>
            <w:pPr>
              <w:spacing w:after="0" w:line="252" w:lineRule="auto"/>
            </w:pPr>
            <w:r/>
            <w:r>
              <w:rPr>
                <w:rFonts w:ascii="Calibri" w:hAnsi="Calibri"/>
                <w:b w:val="0"/>
                <w:i w:val="0"/>
                <w:color w:val="0B2545"/>
                <w:sz w:val="18"/>
              </w:rPr>
              <w:t>94%</w:t>
            </w:r>
          </w:p>
        </w:tc>
        <w:tc>
          <w:tcPr>
            <w:tcW w:type="dxa" w:w="1250"/>
          </w:tcPr>
          <w:p>
            <w:pPr>
              <w:spacing w:after="0" w:line="252" w:lineRule="auto"/>
            </w:pPr>
            <w:r/>
            <w:r>
              <w:rPr>
                <w:rFonts w:ascii="Calibri" w:hAnsi="Calibri"/>
                <w:b w:val="0"/>
                <w:i w:val="0"/>
                <w:color w:val="0B2545"/>
                <w:sz w:val="18"/>
              </w:rPr>
              <w:t>79%</w:t>
            </w:r>
          </w:p>
        </w:tc>
        <w:tc>
          <w:tcPr>
            <w:tcW w:type="dxa" w:w="1050"/>
          </w:tcPr>
          <w:p>
            <w:pPr>
              <w:spacing w:after="0" w:line="252" w:lineRule="auto"/>
            </w:pPr>
            <w:r/>
            <w:r>
              <w:rPr>
                <w:rFonts w:ascii="Calibri" w:hAnsi="Calibri"/>
                <w:b w:val="0"/>
                <w:i w:val="0"/>
                <w:color w:val="0B2545"/>
                <w:sz w:val="18"/>
              </w:rPr>
              <w:t>0.72</w:t>
            </w:r>
          </w:p>
        </w:tc>
        <w:tc>
          <w:tcPr>
            <w:tcW w:type="dxa" w:w="1050"/>
          </w:tcPr>
          <w:p>
            <w:pPr>
              <w:spacing w:after="0" w:line="252" w:lineRule="auto"/>
            </w:pPr>
            <w:r/>
            <w:r>
              <w:rPr>
                <w:rFonts w:ascii="Calibri" w:hAnsi="Calibri"/>
                <w:b w:val="0"/>
                <w:i w:val="0"/>
                <w:color w:val="0B2545"/>
                <w:sz w:val="18"/>
              </w:rPr>
              <w:t>0.9600</w:t>
            </w:r>
          </w:p>
        </w:tc>
        <w:tc>
          <w:tcPr>
            <w:tcW w:type="dxa" w:w="2710"/>
          </w:tcPr>
          <w:p>
            <w:pPr>
              <w:spacing w:after="0" w:line="252" w:lineRule="auto"/>
            </w:pPr>
            <w:r/>
            <w:r>
              <w:rPr>
                <w:rFonts w:ascii="Calibri" w:hAnsi="Calibri"/>
                <w:b w:val="0"/>
                <w:i w:val="0"/>
                <w:color w:val="0B2545"/>
                <w:sz w:val="18"/>
              </w:rPr>
              <w:t>Initial Random Forest v3 evaluation</w:t>
            </w:r>
          </w:p>
        </w:tc>
      </w:tr>
      <w:tr>
        <w:tc>
          <w:tcPr>
            <w:tcW w:type="dxa" w:w="2250"/>
          </w:tcPr>
          <w:p>
            <w:pPr>
              <w:spacing w:after="0" w:line="252" w:lineRule="auto"/>
            </w:pPr>
            <w:r/>
            <w:r>
              <w:rPr>
                <w:rFonts w:ascii="Calibri" w:hAnsi="Calibri"/>
                <w:b w:val="0"/>
                <w:i w:val="0"/>
                <w:color w:val="0B2545"/>
                <w:sz w:val="18"/>
              </w:rPr>
              <w:t>Hard-attack evaluation</w:t>
            </w:r>
          </w:p>
        </w:tc>
        <w:tc>
          <w:tcPr>
            <w:tcW w:type="dxa" w:w="1050"/>
          </w:tcPr>
          <w:p>
            <w:pPr>
              <w:spacing w:after="0" w:line="252" w:lineRule="auto"/>
            </w:pPr>
            <w:r/>
            <w:r>
              <w:rPr>
                <w:rFonts w:ascii="Calibri" w:hAnsi="Calibri"/>
                <w:b w:val="0"/>
                <w:i w:val="0"/>
                <w:color w:val="0B2545"/>
                <w:sz w:val="18"/>
              </w:rPr>
              <w:t>91%</w:t>
            </w:r>
          </w:p>
        </w:tc>
        <w:tc>
          <w:tcPr>
            <w:tcW w:type="dxa" w:w="1250"/>
          </w:tcPr>
          <w:p>
            <w:pPr>
              <w:spacing w:after="0" w:line="252" w:lineRule="auto"/>
            </w:pPr>
            <w:r/>
            <w:r>
              <w:rPr>
                <w:rFonts w:ascii="Calibri" w:hAnsi="Calibri"/>
                <w:b w:val="0"/>
                <w:i w:val="0"/>
                <w:color w:val="0B2545"/>
                <w:sz w:val="18"/>
              </w:rPr>
              <w:t>70%</w:t>
            </w:r>
          </w:p>
        </w:tc>
        <w:tc>
          <w:tcPr>
            <w:tcW w:type="dxa" w:w="1050"/>
          </w:tcPr>
          <w:p>
            <w:pPr>
              <w:spacing w:after="0" w:line="252" w:lineRule="auto"/>
            </w:pPr>
            <w:r/>
            <w:r>
              <w:rPr>
                <w:rFonts w:ascii="Calibri" w:hAnsi="Calibri"/>
                <w:b w:val="0"/>
                <w:i w:val="0"/>
                <w:color w:val="0B2545"/>
                <w:sz w:val="18"/>
              </w:rPr>
              <w:t>0.68</w:t>
            </w:r>
          </w:p>
        </w:tc>
        <w:tc>
          <w:tcPr>
            <w:tcW w:type="dxa" w:w="1050"/>
          </w:tcPr>
          <w:p>
            <w:pPr>
              <w:spacing w:after="0" w:line="252" w:lineRule="auto"/>
            </w:pPr>
            <w:r/>
            <w:r>
              <w:rPr>
                <w:rFonts w:ascii="Calibri" w:hAnsi="Calibri"/>
                <w:b w:val="0"/>
                <w:i w:val="0"/>
                <w:color w:val="0B2545"/>
                <w:sz w:val="18"/>
              </w:rPr>
              <w:t>0.9403</w:t>
            </w:r>
          </w:p>
        </w:tc>
        <w:tc>
          <w:tcPr>
            <w:tcW w:type="dxa" w:w="2710"/>
          </w:tcPr>
          <w:p>
            <w:pPr>
              <w:spacing w:after="0" w:line="252" w:lineRule="auto"/>
            </w:pPr>
            <w:r/>
            <w:r>
              <w:rPr>
                <w:rFonts w:ascii="Calibri" w:hAnsi="Calibri"/>
                <w:b w:val="0"/>
                <w:i w:val="0"/>
                <w:color w:val="0B2545"/>
                <w:sz w:val="18"/>
              </w:rPr>
              <w:t>General stress test against harder variants</w:t>
            </w:r>
          </w:p>
        </w:tc>
      </w:tr>
    </w:tbl>
    <w:p>
      <w:pPr>
        <w:pStyle w:val="Heading2"/>
        <w:keepNext/>
      </w:pPr>
      <w:r>
        <w:t>Attack-wise v1 detection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5200"/>
        <w:gridCol w:w="4160"/>
      </w:tblGrid>
      <w:tr>
        <w:trPr>
          <w:tblHeader w:val="true"/>
        </w:trPr>
        <w:tc>
          <w:tcPr>
            <w:tcW w:type="dxa" w:w="52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Implemented v1 attack</w:t>
            </w:r>
          </w:p>
        </w:tc>
        <w:tc>
          <w:tcPr>
            <w:tcW w:type="dxa" w:w="416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Detection rate</w:t>
            </w:r>
          </w:p>
        </w:tc>
      </w:tr>
      <w:tr>
        <w:tc>
          <w:tcPr>
            <w:tcW w:type="dxa" w:w="5200"/>
          </w:tcPr>
          <w:p>
            <w:pPr>
              <w:spacing w:after="0" w:line="252" w:lineRule="auto"/>
            </w:pPr>
            <w:r/>
            <w:r>
              <w:rPr>
                <w:rFonts w:ascii="Calibri" w:hAnsi="Calibri"/>
                <w:b w:val="0"/>
                <w:i w:val="0"/>
                <w:color w:val="0B2545"/>
                <w:sz w:val="18"/>
              </w:rPr>
              <w:t>Device attack</w:t>
            </w:r>
          </w:p>
        </w:tc>
        <w:tc>
          <w:tcPr>
            <w:tcW w:type="dxa" w:w="4160"/>
          </w:tcPr>
          <w:p>
            <w:pPr>
              <w:spacing w:after="0" w:line="252" w:lineRule="auto"/>
            </w:pPr>
            <w:r/>
            <w:r>
              <w:rPr>
                <w:rFonts w:ascii="Calibri" w:hAnsi="Calibri"/>
                <w:b w:val="0"/>
                <w:i w:val="0"/>
                <w:color w:val="0B2545"/>
                <w:sz w:val="18"/>
              </w:rPr>
              <w:t>83.87%</w:t>
            </w:r>
          </w:p>
        </w:tc>
      </w:tr>
      <w:tr>
        <w:tc>
          <w:tcPr>
            <w:tcW w:type="dxa" w:w="5200"/>
          </w:tcPr>
          <w:p>
            <w:pPr>
              <w:spacing w:after="0" w:line="252" w:lineRule="auto"/>
            </w:pPr>
            <w:r/>
            <w:r>
              <w:rPr>
                <w:rFonts w:ascii="Calibri" w:hAnsi="Calibri"/>
                <w:b w:val="0"/>
                <w:i w:val="0"/>
                <w:color w:val="0B2545"/>
                <w:sz w:val="18"/>
              </w:rPr>
              <w:t>Behavior attack</w:t>
            </w:r>
          </w:p>
        </w:tc>
        <w:tc>
          <w:tcPr>
            <w:tcW w:type="dxa" w:w="4160"/>
          </w:tcPr>
          <w:p>
            <w:pPr>
              <w:spacing w:after="0" w:line="252" w:lineRule="auto"/>
            </w:pPr>
            <w:r/>
            <w:r>
              <w:rPr>
                <w:rFonts w:ascii="Calibri" w:hAnsi="Calibri"/>
                <w:b w:val="0"/>
                <w:i w:val="0"/>
                <w:color w:val="0B2545"/>
                <w:sz w:val="18"/>
              </w:rPr>
              <w:t>81.82%</w:t>
            </w:r>
          </w:p>
        </w:tc>
      </w:tr>
      <w:tr>
        <w:tc>
          <w:tcPr>
            <w:tcW w:type="dxa" w:w="5200"/>
          </w:tcPr>
          <w:p>
            <w:pPr>
              <w:spacing w:after="0" w:line="252" w:lineRule="auto"/>
            </w:pPr>
            <w:r/>
            <w:r>
              <w:rPr>
                <w:rFonts w:ascii="Calibri" w:hAnsi="Calibri"/>
                <w:b w:val="0"/>
                <w:i w:val="0"/>
                <w:color w:val="0B2545"/>
                <w:sz w:val="18"/>
              </w:rPr>
              <w:t>Velocity attack</w:t>
            </w:r>
          </w:p>
        </w:tc>
        <w:tc>
          <w:tcPr>
            <w:tcW w:type="dxa" w:w="4160"/>
          </w:tcPr>
          <w:p>
            <w:pPr>
              <w:spacing w:after="0" w:line="252" w:lineRule="auto"/>
            </w:pPr>
            <w:r/>
            <w:r>
              <w:rPr>
                <w:rFonts w:ascii="Calibri" w:hAnsi="Calibri"/>
                <w:b w:val="0"/>
                <w:i w:val="0"/>
                <w:color w:val="0B2545"/>
                <w:sz w:val="18"/>
              </w:rPr>
              <w:t>72.22%</w:t>
            </w:r>
          </w:p>
        </w:tc>
      </w:tr>
    </w:tbl>
    <w:p>
      <w:pPr>
        <w:pStyle w:val="Heading2"/>
        <w:keepNext/>
      </w:pPr>
      <w:r>
        <w:t>Adaptive-learning results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600"/>
        <w:gridCol w:w="1850"/>
        <w:gridCol w:w="4910"/>
      </w:tblGrid>
      <w:tr>
        <w:trPr>
          <w:tblHeader w:val="true"/>
        </w:trPr>
        <w:tc>
          <w:tcPr>
            <w:tcW w:type="dxa" w:w="26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Adaptive evaluation</w:t>
            </w:r>
          </w:p>
        </w:tc>
        <w:tc>
          <w:tcPr>
            <w:tcW w:type="dxa" w:w="185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Detection result</w:t>
            </w:r>
          </w:p>
        </w:tc>
        <w:tc>
          <w:tcPr>
            <w:tcW w:type="dxa" w:w="491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What it demonstrates</w:t>
            </w:r>
          </w:p>
        </w:tc>
      </w:tr>
      <w:tr>
        <w:tc>
          <w:tcPr>
            <w:tcW w:type="dxa" w:w="2600"/>
          </w:tcPr>
          <w:p>
            <w:pPr>
              <w:spacing w:after="0" w:line="252" w:lineRule="auto"/>
            </w:pPr>
            <w:r/>
            <w:r>
              <w:rPr>
                <w:rFonts w:ascii="Calibri" w:hAnsi="Calibri"/>
                <w:b w:val="0"/>
                <w:i w:val="0"/>
                <w:color w:val="0B2545"/>
                <w:sz w:val="18"/>
              </w:rPr>
              <w:t>Hard Velocity</w:t>
            </w:r>
          </w:p>
        </w:tc>
        <w:tc>
          <w:tcPr>
            <w:tcW w:type="dxa" w:w="1850"/>
          </w:tcPr>
          <w:p>
            <w:pPr>
              <w:spacing w:after="0" w:line="252" w:lineRule="auto"/>
            </w:pPr>
            <w:r/>
            <w:r>
              <w:rPr>
                <w:rFonts w:ascii="Calibri" w:hAnsi="Calibri"/>
                <w:b w:val="0"/>
                <w:i w:val="0"/>
                <w:color w:val="0B2545"/>
                <w:sz w:val="18"/>
              </w:rPr>
              <w:t>39.4%</w:t>
            </w:r>
          </w:p>
        </w:tc>
        <w:tc>
          <w:tcPr>
            <w:tcW w:type="dxa" w:w="4910"/>
          </w:tcPr>
          <w:p>
            <w:pPr>
              <w:spacing w:after="0" w:line="252" w:lineRule="auto"/>
            </w:pPr>
            <w:r/>
            <w:r>
              <w:rPr>
                <w:rFonts w:ascii="Calibri" w:hAnsi="Calibri"/>
                <w:b w:val="0"/>
                <w:i w:val="0"/>
                <w:color w:val="0B2545"/>
                <w:sz w:val="18"/>
              </w:rPr>
              <w:t>Harder velocity pattern exposed a major blind spot.</w:t>
            </w:r>
          </w:p>
        </w:tc>
      </w:tr>
      <w:tr>
        <w:tc>
          <w:tcPr>
            <w:tcW w:type="dxa" w:w="2600"/>
          </w:tcPr>
          <w:p>
            <w:pPr>
              <w:spacing w:after="0" w:line="252" w:lineRule="auto"/>
            </w:pPr>
            <w:r/>
            <w:r>
              <w:rPr>
                <w:rFonts w:ascii="Calibri" w:hAnsi="Calibri"/>
                <w:b w:val="0"/>
                <w:i w:val="0"/>
                <w:color w:val="0B2545"/>
                <w:sz w:val="18"/>
              </w:rPr>
              <w:t>Unseen Hard Velocity</w:t>
            </w:r>
          </w:p>
        </w:tc>
        <w:tc>
          <w:tcPr>
            <w:tcW w:type="dxa" w:w="1850"/>
          </w:tcPr>
          <w:p>
            <w:pPr>
              <w:spacing w:after="0" w:line="252" w:lineRule="auto"/>
            </w:pPr>
            <w:r/>
            <w:r>
              <w:rPr>
                <w:rFonts w:ascii="Calibri" w:hAnsi="Calibri"/>
                <w:b w:val="0"/>
                <w:i w:val="0"/>
                <w:color w:val="0B2545"/>
                <w:sz w:val="18"/>
              </w:rPr>
              <w:t>69.6%</w:t>
            </w:r>
          </w:p>
        </w:tc>
        <w:tc>
          <w:tcPr>
            <w:tcW w:type="dxa" w:w="4910"/>
          </w:tcPr>
          <w:p>
            <w:pPr>
              <w:spacing w:after="0" w:line="252" w:lineRule="auto"/>
            </w:pPr>
            <w:r/>
            <w:r>
              <w:rPr>
                <w:rFonts w:ascii="Calibri" w:hAnsi="Calibri"/>
                <w:b w:val="0"/>
                <w:i w:val="0"/>
                <w:color w:val="0B2545"/>
                <w:sz w:val="18"/>
              </w:rPr>
              <w:t>Improved after targeted retraining; held-out distribution remained challenging.</w:t>
            </w:r>
          </w:p>
        </w:tc>
      </w:tr>
      <w:tr>
        <w:tc>
          <w:tcPr>
            <w:tcW w:type="dxa" w:w="2600"/>
          </w:tcPr>
          <w:p>
            <w:pPr>
              <w:spacing w:after="0" w:line="252" w:lineRule="auto"/>
            </w:pPr>
            <w:r/>
            <w:r>
              <w:rPr>
                <w:rFonts w:ascii="Calibri" w:hAnsi="Calibri"/>
                <w:b w:val="0"/>
                <w:i w:val="0"/>
                <w:color w:val="0B2545"/>
                <w:sz w:val="18"/>
              </w:rPr>
              <w:t>Stealth v1</w:t>
            </w:r>
          </w:p>
        </w:tc>
        <w:tc>
          <w:tcPr>
            <w:tcW w:type="dxa" w:w="1850"/>
          </w:tcPr>
          <w:p>
            <w:pPr>
              <w:spacing w:after="0" w:line="252" w:lineRule="auto"/>
            </w:pPr>
            <w:r/>
            <w:r>
              <w:rPr>
                <w:rFonts w:ascii="Calibri" w:hAnsi="Calibri"/>
                <w:b w:val="0"/>
                <w:i w:val="0"/>
                <w:color w:val="0B2545"/>
                <w:sz w:val="18"/>
              </w:rPr>
              <w:t>4.6%</w:t>
            </w:r>
          </w:p>
        </w:tc>
        <w:tc>
          <w:tcPr>
            <w:tcW w:type="dxa" w:w="4910"/>
          </w:tcPr>
          <w:p>
            <w:pPr>
              <w:spacing w:after="0" w:line="252" w:lineRule="auto"/>
            </w:pPr>
            <w:r/>
            <w:r>
              <w:rPr>
                <w:rFonts w:ascii="Calibri" w:hAnsi="Calibri"/>
                <w:b w:val="0"/>
                <w:i w:val="0"/>
                <w:color w:val="0B2545"/>
                <w:sz w:val="18"/>
              </w:rPr>
              <w:t>Low-and-slow pattern largely bypassed the initial model.</w:t>
            </w:r>
          </w:p>
        </w:tc>
      </w:tr>
      <w:tr>
        <w:tc>
          <w:tcPr>
            <w:tcW w:type="dxa" w:w="2600"/>
          </w:tcPr>
          <w:p>
            <w:pPr>
              <w:spacing w:after="0" w:line="252" w:lineRule="auto"/>
            </w:pPr>
            <w:r/>
            <w:r>
              <w:rPr>
                <w:rFonts w:ascii="Calibri" w:hAnsi="Calibri"/>
                <w:b w:val="0"/>
                <w:i w:val="0"/>
                <w:color w:val="0B2545"/>
                <w:sz w:val="18"/>
              </w:rPr>
              <w:t>Unseen Stealth v2</w:t>
            </w:r>
          </w:p>
        </w:tc>
        <w:tc>
          <w:tcPr>
            <w:tcW w:type="dxa" w:w="1850"/>
          </w:tcPr>
          <w:p>
            <w:pPr>
              <w:spacing w:after="0" w:line="252" w:lineRule="auto"/>
            </w:pPr>
            <w:r/>
            <w:r>
              <w:rPr>
                <w:rFonts w:ascii="Calibri" w:hAnsi="Calibri"/>
                <w:b w:val="0"/>
                <w:i w:val="0"/>
                <w:color w:val="0B2545"/>
                <w:sz w:val="18"/>
              </w:rPr>
              <w:t>88.8% (444/500)</w:t>
            </w:r>
          </w:p>
        </w:tc>
        <w:tc>
          <w:tcPr>
            <w:tcW w:type="dxa" w:w="4910"/>
          </w:tcPr>
          <w:p>
            <w:pPr>
              <w:spacing w:after="0" w:line="252" w:lineRule="auto"/>
            </w:pPr>
            <w:r/>
            <w:r>
              <w:rPr>
                <w:rFonts w:ascii="Calibri" w:hAnsi="Calibri"/>
                <w:b w:val="0"/>
                <w:i w:val="0"/>
                <w:color w:val="0B2545"/>
                <w:sz w:val="18"/>
              </w:rPr>
              <w:t>Final unseen evaluation after adaptive simulation and retraining.</w:t>
            </w:r>
          </w:p>
        </w:tc>
      </w:tr>
      <w:tr>
        <w:tc>
          <w:tcPr>
            <w:tcW w:type="dxa" w:w="2600"/>
          </w:tcPr>
          <w:p>
            <w:pPr>
              <w:spacing w:after="0" w:line="252" w:lineRule="auto"/>
            </w:pPr>
            <w:r/>
            <w:r>
              <w:rPr>
                <w:rFonts w:ascii="Calibri" w:hAnsi="Calibri"/>
                <w:b w:val="0"/>
                <w:i w:val="0"/>
                <w:color w:val="0B2545"/>
                <w:sz w:val="18"/>
              </w:rPr>
              <w:t>Change: Stealth v1 to unseen Stealth v2</w:t>
            </w:r>
          </w:p>
        </w:tc>
        <w:tc>
          <w:tcPr>
            <w:tcW w:type="dxa" w:w="1850"/>
          </w:tcPr>
          <w:p>
            <w:pPr>
              <w:spacing w:after="0" w:line="252" w:lineRule="auto"/>
            </w:pPr>
            <w:r/>
            <w:r>
              <w:rPr>
                <w:rFonts w:ascii="Calibri" w:hAnsi="Calibri"/>
                <w:b w:val="0"/>
                <w:i w:val="0"/>
                <w:color w:val="0B2545"/>
                <w:sz w:val="18"/>
              </w:rPr>
              <w:t>+84.2 percentage points</w:t>
            </w:r>
          </w:p>
        </w:tc>
        <w:tc>
          <w:tcPr>
            <w:tcW w:type="dxa" w:w="4910"/>
          </w:tcPr>
          <w:p>
            <w:pPr>
              <w:spacing w:after="0" w:line="252" w:lineRule="auto"/>
            </w:pPr>
            <w:r/>
            <w:r>
              <w:rPr>
                <w:rFonts w:ascii="Calibri" w:hAnsi="Calibri"/>
                <w:b w:val="0"/>
                <w:i w:val="0"/>
                <w:color w:val="0B2545"/>
                <w:sz w:val="18"/>
              </w:rPr>
              <w:t>Measured improvement, not a claim of universal fraud coverage.</w:t>
            </w:r>
          </w:p>
        </w:tc>
      </w:tr>
    </w:tbl>
    <w:p>
      <w:pPr>
        <w:spacing w:before="120" w:after="80"/>
      </w:pPr>
      <w:r>
        <w:rPr>
          <w:rFonts w:ascii="Calibri" w:hAnsi="Calibri"/>
          <w:b w:val="0"/>
          <w:i/>
          <w:color w:val="9B1C1C"/>
          <w:sz w:val="19"/>
        </w:rPr>
        <w:t>Interpretation: the 88.8% result is limited to 500 unseen, synthetically generated Stealth v2 transactions. It demonstrates that the prototype improved against its simulated adaptive threat model; it does not establish expected production fraud-catch rate.</w:t>
      </w:r>
    </w:p>
    <w:p>
      <w:pPr>
        <w:pStyle w:val="Heading1"/>
        <w:keepNext/>
      </w:pPr>
      <w:r>
        <w:t>7. Real-World Feasibility in Live Payment Environments</w:t>
      </w:r>
    </w:p>
    <w:p>
      <w:pPr>
        <w:spacing w:after="120"/>
      </w:pPr>
      <w:r>
        <w:rPr>
          <w:rFonts w:ascii="Calibri" w:hAnsi="Calibri"/>
          <w:b w:val="0"/>
          <w:i w:val="0"/>
          <w:color w:val="0B2545"/>
          <w:sz w:val="22"/>
        </w:rPr>
        <w:t>The architecture can be adapted to real-time payment environments, but the current build is a prototype. A production program would need reliable streaming data, governed feature definitions, calibrated decisioning, independent validation, and operational controls.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Capability</w:t>
            </w:r>
          </w:p>
        </w:tc>
        <w:tc>
          <w:tcPr>
            <w:tcW w:type="dxa" w:w="7060"/>
            <w:tcMar>
              <w:top w:w="80" w:type="dxa"/>
              <w:start w:w="120" w:type="dxa"/>
              <w:bottom w:w="80" w:type="dxa"/>
              <w:end w:w="120" w:type="dxa"/>
            </w:tcMar>
            <w:vAlign w:val="center"/>
            <w:shd w:fill="E8EEF5"/>
          </w:tcPr>
          <w:p>
            <w:pPr>
              <w:spacing w:after="0" w:line="252" w:lineRule="auto"/>
            </w:pPr>
            <w:r/>
            <w:r>
              <w:rPr>
                <w:rFonts w:ascii="Calibri" w:hAnsi="Calibri"/>
                <w:b/>
                <w:i w:val="0"/>
                <w:color w:val="1F4D78"/>
                <w:sz w:val="18"/>
              </w:rPr>
              <w:t>Production requirement</w:t>
            </w:r>
          </w:p>
        </w:tc>
      </w:tr>
      <w:tr>
        <w:tc>
          <w:tcPr>
            <w:tcW w:type="dxa" w:w="2300"/>
          </w:tcPr>
          <w:p>
            <w:pPr>
              <w:spacing w:after="0" w:line="252" w:lineRule="auto"/>
            </w:pPr>
            <w:r/>
            <w:r>
              <w:rPr>
                <w:rFonts w:ascii="Calibri" w:hAnsi="Calibri"/>
                <w:b w:val="0"/>
                <w:i w:val="0"/>
                <w:color w:val="0B2545"/>
                <w:sz w:val="18"/>
              </w:rPr>
              <w:t>Streaming inference</w:t>
            </w:r>
          </w:p>
        </w:tc>
        <w:tc>
          <w:tcPr>
            <w:tcW w:type="dxa" w:w="7060"/>
          </w:tcPr>
          <w:p>
            <w:pPr>
              <w:spacing w:after="0" w:line="252" w:lineRule="auto"/>
            </w:pPr>
            <w:r/>
            <w:r>
              <w:rPr>
                <w:rFonts w:ascii="Calibri" w:hAnsi="Calibri"/>
                <w:b w:val="0"/>
                <w:i w:val="0"/>
                <w:color w:val="0B2545"/>
                <w:sz w:val="18"/>
              </w:rPr>
              <w:t>Score each authorization or payment event through a low-latency model-serving endpoint; cache stable features and degrade safely if a dependency is unavailable.</w:t>
            </w:r>
          </w:p>
        </w:tc>
      </w:tr>
      <w:tr>
        <w:tc>
          <w:tcPr>
            <w:tcW w:type="dxa" w:w="2300"/>
          </w:tcPr>
          <w:p>
            <w:pPr>
              <w:spacing w:after="0" w:line="252" w:lineRule="auto"/>
            </w:pPr>
            <w:r/>
            <w:r>
              <w:rPr>
                <w:rFonts w:ascii="Calibri" w:hAnsi="Calibri"/>
                <w:b w:val="0"/>
                <w:i w:val="0"/>
                <w:color w:val="0B2545"/>
                <w:sz w:val="18"/>
              </w:rPr>
              <w:t>Feature pipeline</w:t>
            </w:r>
          </w:p>
        </w:tc>
        <w:tc>
          <w:tcPr>
            <w:tcW w:type="dxa" w:w="7060"/>
          </w:tcPr>
          <w:p>
            <w:pPr>
              <w:spacing w:after="0" w:line="252" w:lineRule="auto"/>
            </w:pPr>
            <w:r/>
            <w:r>
              <w:rPr>
                <w:rFonts w:ascii="Calibri" w:hAnsi="Calibri"/>
                <w:b w:val="0"/>
                <w:i w:val="0"/>
                <w:color w:val="0B2545"/>
                <w:sz w:val="18"/>
              </w:rPr>
              <w:t>Build online/offline feature parity for velocity, device, merchant, behavioral, and account-history signals. Version definitions and protect against data leakage.</w:t>
            </w:r>
          </w:p>
        </w:tc>
      </w:tr>
      <w:tr>
        <w:tc>
          <w:tcPr>
            <w:tcW w:type="dxa" w:w="2300"/>
          </w:tcPr>
          <w:p>
            <w:pPr>
              <w:spacing w:after="0" w:line="252" w:lineRule="auto"/>
            </w:pPr>
            <w:r/>
            <w:r>
              <w:rPr>
                <w:rFonts w:ascii="Calibri" w:hAnsi="Calibri"/>
                <w:b w:val="0"/>
                <w:i w:val="0"/>
                <w:color w:val="0B2545"/>
                <w:sz w:val="18"/>
              </w:rPr>
              <w:t>Risk-based actions</w:t>
            </w:r>
          </w:p>
        </w:tc>
        <w:tc>
          <w:tcPr>
            <w:tcW w:type="dxa" w:w="7060"/>
          </w:tcPr>
          <w:p>
            <w:pPr>
              <w:spacing w:after="0" w:line="252" w:lineRule="auto"/>
            </w:pPr>
            <w:r/>
            <w:r>
              <w:rPr>
                <w:rFonts w:ascii="Calibri" w:hAnsi="Calibri"/>
                <w:b w:val="0"/>
                <w:i w:val="0"/>
                <w:color w:val="0B2545"/>
                <w:sz w:val="18"/>
              </w:rPr>
              <w:t>Map calibrated risk bands to approve, step-up authentication, review, hold, or decline workflows with policy ownership and human escalation.</w:t>
            </w:r>
          </w:p>
        </w:tc>
      </w:tr>
      <w:tr>
        <w:tc>
          <w:tcPr>
            <w:tcW w:type="dxa" w:w="2300"/>
          </w:tcPr>
          <w:p>
            <w:pPr>
              <w:spacing w:after="0" w:line="252" w:lineRule="auto"/>
            </w:pPr>
            <w:r/>
            <w:r>
              <w:rPr>
                <w:rFonts w:ascii="Calibri" w:hAnsi="Calibri"/>
                <w:b w:val="0"/>
                <w:i w:val="0"/>
                <w:color w:val="0B2545"/>
                <w:sz w:val="18"/>
              </w:rPr>
              <w:t>Latency and scaling</w:t>
            </w:r>
          </w:p>
        </w:tc>
        <w:tc>
          <w:tcPr>
            <w:tcW w:type="dxa" w:w="7060"/>
          </w:tcPr>
          <w:p>
            <w:pPr>
              <w:spacing w:after="0" w:line="252" w:lineRule="auto"/>
            </w:pPr>
            <w:r/>
            <w:r>
              <w:rPr>
                <w:rFonts w:ascii="Calibri" w:hAnsi="Calibri"/>
                <w:b w:val="0"/>
                <w:i w:val="0"/>
                <w:color w:val="0B2545"/>
                <w:sz w:val="18"/>
              </w:rPr>
              <w:t>Use horizontally scalable inference, event streaming, feature caching, load tests, and tail-latency budgets appropriate to the payment flow.</w:t>
            </w:r>
          </w:p>
        </w:tc>
      </w:tr>
      <w:tr>
        <w:tc>
          <w:tcPr>
            <w:tcW w:type="dxa" w:w="2300"/>
          </w:tcPr>
          <w:p>
            <w:pPr>
              <w:spacing w:after="0" w:line="252" w:lineRule="auto"/>
            </w:pPr>
            <w:r/>
            <w:r>
              <w:rPr>
                <w:rFonts w:ascii="Calibri" w:hAnsi="Calibri"/>
                <w:b w:val="0"/>
                <w:i w:val="0"/>
                <w:color w:val="0B2545"/>
                <w:sz w:val="18"/>
              </w:rPr>
              <w:t>Monitoring</w:t>
            </w:r>
          </w:p>
        </w:tc>
        <w:tc>
          <w:tcPr>
            <w:tcW w:type="dxa" w:w="7060"/>
          </w:tcPr>
          <w:p>
            <w:pPr>
              <w:spacing w:after="0" w:line="252" w:lineRule="auto"/>
            </w:pPr>
            <w:r/>
            <w:r>
              <w:rPr>
                <w:rFonts w:ascii="Calibri" w:hAnsi="Calibri"/>
                <w:b w:val="0"/>
                <w:i w:val="0"/>
                <w:color w:val="0B2545"/>
                <w:sz w:val="18"/>
              </w:rPr>
              <w:t>Track drift, score distributions, feature freshness, false positives, fraud losses, and segment performance; alert on degraded data quality or model behavior.</w:t>
            </w:r>
          </w:p>
        </w:tc>
      </w:tr>
      <w:tr>
        <w:tc>
          <w:tcPr>
            <w:tcW w:type="dxa" w:w="2300"/>
          </w:tcPr>
          <w:p>
            <w:pPr>
              <w:spacing w:after="0" w:line="252" w:lineRule="auto"/>
            </w:pPr>
            <w:r/>
            <w:r>
              <w:rPr>
                <w:rFonts w:ascii="Calibri" w:hAnsi="Calibri"/>
                <w:b w:val="0"/>
                <w:i w:val="0"/>
                <w:color w:val="0B2545"/>
                <w:sz w:val="18"/>
              </w:rPr>
              <w:t>Feedback and adaptation</w:t>
            </w:r>
          </w:p>
        </w:tc>
        <w:tc>
          <w:tcPr>
            <w:tcW w:type="dxa" w:w="7060"/>
          </w:tcPr>
          <w:p>
            <w:pPr>
              <w:spacing w:after="0" w:line="252" w:lineRule="auto"/>
            </w:pPr>
            <w:r/>
            <w:r>
              <w:rPr>
                <w:rFonts w:ascii="Calibri" w:hAnsi="Calibri"/>
                <w:b w:val="0"/>
                <w:i w:val="0"/>
                <w:color w:val="0B2545"/>
                <w:sz w:val="18"/>
              </w:rPr>
              <w:t>Ingest chargebacks, confirmed fraud, review outcomes, and customer appeals; retrain through controlled governance rather than automatic unreviewed updates.</w:t>
            </w:r>
          </w:p>
        </w:tc>
      </w:tr>
      <w:tr>
        <w:tc>
          <w:tcPr>
            <w:tcW w:type="dxa" w:w="2300"/>
          </w:tcPr>
          <w:p>
            <w:pPr>
              <w:spacing w:after="0" w:line="252" w:lineRule="auto"/>
            </w:pPr>
            <w:r/>
            <w:r>
              <w:rPr>
                <w:rFonts w:ascii="Calibri" w:hAnsi="Calibri"/>
                <w:b w:val="0"/>
                <w:i w:val="0"/>
                <w:color w:val="0B2545"/>
                <w:sz w:val="18"/>
              </w:rPr>
              <w:t>Privacy and security</w:t>
            </w:r>
          </w:p>
        </w:tc>
        <w:tc>
          <w:tcPr>
            <w:tcW w:type="dxa" w:w="7060"/>
          </w:tcPr>
          <w:p>
            <w:pPr>
              <w:spacing w:after="0" w:line="252" w:lineRule="auto"/>
            </w:pPr>
            <w:r/>
            <w:r>
              <w:rPr>
                <w:rFonts w:ascii="Calibri" w:hAnsi="Calibri"/>
                <w:b w:val="0"/>
                <w:i w:val="0"/>
                <w:color w:val="0B2545"/>
                <w:sz w:val="18"/>
              </w:rPr>
              <w:t>Minimize data, tokenize identifiers, encrypt in transit/at rest, apply role-based access, audit access, and align retention/consent with applicable law and network rules.</w:t>
            </w:r>
          </w:p>
        </w:tc>
      </w:tr>
    </w:tbl>
    <w:p>
      <w:pPr>
        <w:pStyle w:val="Heading2"/>
        <w:keepNext/>
      </w:pPr>
      <w:r>
        <w:t>What production readiness would require</w:t>
      </w:r>
    </w:p>
    <w:p>
      <w:pPr>
        <w:pStyle w:val="ListBullet"/>
        <w:spacing w:after="80" w:line="290" w:lineRule="auto"/>
        <w:ind w:left="540" w:hanging="279"/>
      </w:pPr>
      <w:r>
        <w:rPr>
          <w:rFonts w:ascii="Calibri" w:hAnsi="Calibri"/>
          <w:b w:val="0"/>
          <w:i w:val="0"/>
          <w:color w:val="0B2545"/>
          <w:sz w:val="22"/>
        </w:rPr>
        <w:t>Historical, consented, and representative real transaction data with rigorous labeling and clear separation between training, validation, and independent test sets.</w:t>
      </w:r>
    </w:p>
    <w:p>
      <w:pPr>
        <w:pStyle w:val="ListBullet"/>
        <w:spacing w:after="80" w:line="290" w:lineRule="auto"/>
        <w:ind w:left="540" w:hanging="279"/>
      </w:pPr>
      <w:r>
        <w:rPr>
          <w:rFonts w:ascii="Calibri" w:hAnsi="Calibri"/>
          <w:b w:val="0"/>
          <w:i w:val="0"/>
          <w:color w:val="0B2545"/>
          <w:sz w:val="22"/>
        </w:rPr>
        <w:t>Independent model-risk validation, fairness and segment testing, threshold calibration, and documented human-review and override procedures.</w:t>
      </w:r>
    </w:p>
    <w:p>
      <w:pPr>
        <w:pStyle w:val="ListBullet"/>
        <w:spacing w:after="80" w:line="290" w:lineRule="auto"/>
        <w:ind w:left="540" w:hanging="279"/>
      </w:pPr>
      <w:r>
        <w:rPr>
          <w:rFonts w:ascii="Calibri" w:hAnsi="Calibri"/>
          <w:b w:val="0"/>
          <w:i w:val="0"/>
          <w:color w:val="0B2545"/>
          <w:sz w:val="22"/>
        </w:rPr>
        <w:t>Secure integration with authorization, authentication, case-management, and dispute/chargeback systems, plus resilience and incident-response testing.</w:t>
      </w:r>
    </w:p>
    <w:p>
      <w:pPr>
        <w:pStyle w:val="ListBullet"/>
        <w:spacing w:after="80" w:line="290" w:lineRule="auto"/>
        <w:ind w:left="540" w:hanging="279"/>
      </w:pPr>
      <w:r>
        <w:rPr>
          <w:rFonts w:ascii="Calibri" w:hAnsi="Calibri"/>
          <w:b w:val="0"/>
          <w:i w:val="0"/>
          <w:color w:val="0B2545"/>
          <w:sz w:val="22"/>
        </w:rPr>
        <w:t>Ongoing governance: model inventory, change approval, reproducibility, privacy impact assessment, and compliance review appropriate to every deployment market.</w:t>
      </w:r>
    </w:p>
    <w:p>
      <w:pPr>
        <w:pStyle w:val="Heading1"/>
        <w:keepNext/>
      </w:pPr>
      <w:r>
        <w:t>8. Limitations</w:t>
      </w:r>
    </w:p>
    <w:p>
      <w:pPr>
        <w:spacing w:after="120"/>
      </w:pPr>
      <w:r>
        <w:rPr>
          <w:rFonts w:ascii="Calibri" w:hAnsi="Calibri"/>
          <w:b w:val="0"/>
          <w:i w:val="0"/>
          <w:color w:val="0B2545"/>
          <w:sz w:val="22"/>
        </w:rPr>
        <w:t>Synthetic data is essential for safe experimentation, but it cannot fully reproduce the diversity, adversarial incentives, operational noise, and label delays of live payment ecosystems. Results may be sensitive to the simulator assumptions, feature distributions, class balance, and correlation structure. The prototype also does not model every fraud family in its taxonomy, adversarial feedback from live controls, or the customer-friction costs of each decision. These constraints are why the results are framed as a prototype demonstration rather than a production-performance claim.</w:t>
      </w:r>
    </w:p>
    <w:p>
      <w:pPr>
        <w:pStyle w:val="Heading1"/>
        <w:keepNext/>
      </w:pPr>
      <w:r>
        <w:t>Conclusion</w:t>
      </w:r>
    </w:p>
    <w:p>
      <w:pPr>
        <w:spacing w:after="120"/>
      </w:pPr>
      <w:r>
        <w:rPr>
          <w:rFonts w:ascii="Calibri" w:hAnsi="Calibri"/>
          <w:b w:val="0"/>
          <w:i w:val="0"/>
          <w:color w:val="0B2545"/>
          <w:sz w:val="22"/>
        </w:rPr>
        <w:t>AI Defense Lab demonstrates a practical competition concept: make fraud defense adaptive by treating attacks as a testable, evolving distribution. The Red Team creates increasingly realistic synthetic payment attacks; the Blue Team scores and mitigates risk; and measured misses guide the next defense round. The strongest result - 88.8% detection on 500 unseen Stealth v2 transactions - is promising prototype evidence of adaptive learning, while the path to production requires governed real-data validation, secure streaming integration, calibrated decisioning, and continuous monitoring.</w:t>
      </w:r>
    </w:p>
    <w:p>
      <w:pPr>
        <w:spacing w:before="160" w:after="0"/>
      </w:pPr>
      <w:r>
        <w:rPr>
          <w:rFonts w:ascii="Calibri" w:hAnsi="Calibri"/>
          <w:b/>
          <w:i w:val="0"/>
          <w:color w:val="1F4D78"/>
          <w:sz w:val="22"/>
        </w:rPr>
        <w:t>Key takeaway: resilience is not one model score. It is a repeatable cycle of simulation, detection, feedback, and controlled improvement.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73"/>
        <w:sz w:val="16"/>
      </w:rPr>
      <w:t>Prototype report | AI Defense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6"/>
      </w:rPr>
      <w:t>AI DEFENSE LAB  |  MASTERCARD INNOVATION CHALLENGE @ GFF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Defense Lab | Mastercard Innovation Challenge @ GFF 2026</dc:title>
  <dc:subject>Prototype fraud-defense system report</dc:subject>
  <dc:creator>AI Defense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