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538135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538135"/>
          <w:sz w:val="28"/>
          <w:szCs w:val="28"/>
          <w:highlight w:val="yellow"/>
          <w:u w:val="single"/>
          <w:rtl w:val="0"/>
        </w:rPr>
        <w:t xml:space="preserve">DASHBOARD 1: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Calibri" w:cs="Calibri" w:eastAsia="Calibri" w:hAnsi="Calibri"/>
          <w:color w:val="c559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4"/>
          <w:szCs w:val="24"/>
          <w:rtl w:val="0"/>
        </w:rPr>
        <w:t xml:space="preserve">Key Performance Indicators (KPIs)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Loan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Funded Amount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Amount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Interest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Debt-to-Income Ratio (DTI)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Calibri" w:cs="Calibri" w:eastAsia="Calibri" w:hAnsi="Calibri"/>
          <w:b w:val="1"/>
          <w:color w:val="c559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4"/>
          <w:szCs w:val="24"/>
          <w:rtl w:val="0"/>
        </w:rPr>
        <w:t xml:space="preserve">Good Loan v Bad Loan KPI’s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Good Loan KPIs: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Good Loan Application Percentage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Good Loan Applications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Good Loan Funded Amount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Good Loan Total Received Amount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 Loan KPIs: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 Loan Application Percentage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 Loan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 Loan Funded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Bad Loan Total Received Amount</w:t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538135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538135"/>
          <w:sz w:val="28"/>
          <w:szCs w:val="28"/>
          <w:highlight w:val="yellow"/>
          <w:u w:val="single"/>
          <w:rtl w:val="0"/>
        </w:rPr>
        <w:t xml:space="preserve">DASHBOARD 2: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Monthly Trends by Issue Date (Line Chart)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Term Analysis (Donut Chart):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Length Analysis (Bar Chart):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Purpose Breakdown (Bar Chart):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