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Indian Stock Market Outlook and Sectoral Investment Strategy for a 5-Year Horizon (2025–2030)</w:t>
      </w:r>
      <w:r/>
    </w:p>
    <w:p>
      <w:pPr>
        <w:pStyle w:val="Heading4"/>
      </w:pPr>
      <w:r>
        <w:t>Date: 08/05/2025</w:t>
      </w:r>
      <w:r/>
    </w:p>
    <w:p>
      <w:pPr>
        <w:pStyle w:val="Heading2"/>
      </w:pPr>
      <w:r>
        <w:t>Introduction</w:t>
      </w:r>
      <w:r/>
    </w:p>
    <w:p>
      <w:r/>
      <w:r>
        <w:t>The Indian stock market outlook and sectoral investment strategy for a 5-year horizon from 2025 to 2030 present a dynamic landscape influenced by macroeconomic factors, policy interventions, and sector-specific opportunities. As of May 2025, the market operates within a backdrop of steady GDP growth, moderating inflation, and proactive policy measures aimed at stimulating economic activity. The Reserve Bank of India's recent rate cut and government initiatives such as the 'Make in India' campaign underscore the commitment to fostering growth and attracting investments (</w:t>
      </w:r>
      <w:hyperlink r:id="rId9">
        <w:r>
          <w:rPr>
            <w:color w:val="0000EE"/>
            <w:u w:val="single"/>
          </w:rPr>
          <w:t>Cafemutual, 2025</w:t>
        </w:r>
      </w:hyperlink>
      <w:r>
        <w:t>). Sectoral performance exhibits a mix of high-growth areas like Information Technology, Green Energy, and Financial Services, alongside challenges in sectors such as Industrial Gases and Consumer Discretionary. Investors with a long-term horizon are presented with opportunities in sectors like IT, Green Energy, Financial Services, Infrastructure, and Healthcare, each driven by distinct growth drivers and policy support. However, elevated valuations, global trade tensions, and earnings uncertainty pose risks that necessitate a strategic and diversified investment approach. This research delves into the current market conditions, sectoral outlook, investment strategies, and risk considerations to provide a comprehensive guide for investors navigating the Indian stock market landscape over the next five years.</w:t>
      </w:r>
      <w:r/>
    </w:p>
    <w:p>
      <w:pPr>
        <w:pStyle w:val="Heading2"/>
      </w:pPr>
      <w:r>
        <w:t>Table of Contents</w:t>
      </w:r>
      <w:r/>
      <w:r/>
    </w:p>
    <w:p>
      <w:pPr>
        <w:pStyle w:val="ListBullet"/>
        <w:spacing w:line="240" w:lineRule="auto"/>
        <w:ind w:left="720"/>
      </w:pPr>
      <w:r/>
      <w:r>
        <w:t>Introduction</w:t>
      </w:r>
      <w:r/>
    </w:p>
    <w:p>
      <w:pPr>
        <w:pStyle w:val="ListBullet"/>
        <w:spacing w:line="240" w:lineRule="auto"/>
        <w:ind w:left="720"/>
      </w:pPr>
      <w:r/>
      <w:r>
        <w:t>Current Market Condition: An Analytical Overview</w:t>
      </w:r>
      <w:r/>
    </w:p>
    <w:p>
      <w:pPr>
        <w:pStyle w:val="ListBullet"/>
        <w:spacing w:line="240" w:lineRule="auto"/>
        <w:ind w:left="720"/>
      </w:pPr>
      <w:r/>
      <w:r>
        <w:t>Sectoral Performance and Rotation</w:t>
      </w:r>
      <w:r/>
    </w:p>
    <w:p>
      <w:pPr>
        <w:pStyle w:val="ListBullet"/>
        <w:spacing w:line="240" w:lineRule="auto"/>
        <w:ind w:left="720"/>
      </w:pPr>
      <w:r/>
      <w:r>
        <w:t>Five-Year Investment Outlook: Sectoral Opportunities</w:t>
      </w:r>
      <w:r/>
    </w:p>
    <w:p>
      <w:pPr>
        <w:pStyle w:val="ListBullet"/>
        <w:spacing w:line="240" w:lineRule="auto"/>
        <w:ind w:left="720"/>
      </w:pPr>
      <w:r/>
      <w:r>
        <w:t>Investment Strategies and Portfolio Considerations</w:t>
      </w:r>
      <w:r/>
    </w:p>
    <w:p>
      <w:pPr>
        <w:pStyle w:val="ListBullet"/>
        <w:spacing w:line="240" w:lineRule="auto"/>
        <w:ind w:left="720"/>
      </w:pPr>
      <w:r/>
      <w:r>
        <w:t>Sectoral Outlook: Where to Invest for 5 Years</w:t>
      </w:r>
      <w:r/>
    </w:p>
    <w:p>
      <w:pPr>
        <w:pStyle w:val="ListBullet"/>
        <w:spacing w:line="240" w:lineRule="auto"/>
        <w:ind w:left="720"/>
      </w:pPr>
      <w:r/>
      <w:r>
        <w:t>Risks and Considerations</w:t>
      </w:r>
      <w:r/>
      <w:r/>
    </w:p>
    <w:p>
      <w:pPr>
        <w:pStyle w:val="Heading2"/>
      </w:pPr>
      <w:r>
        <w:t>Current Market Condition: An Analytical Overview</w:t>
      </w:r>
      <w:r/>
    </w:p>
    <w:p>
      <w:pPr>
        <w:pStyle w:val="Heading3"/>
      </w:pPr>
      <w:r>
        <w:t>Macroeconomic and Policy Backdrop</w:t>
      </w:r>
      <w:r/>
    </w:p>
    <w:p>
      <w:r/>
      <w:r>
        <w:t>The Indian stock market in May 2025 operates within a macroeconomic environment characterized by steady GDP growth, moderating inflation, and proactive policy interventions. The Reserve Bank of India (RBI) has recently cut the repo rate by 25 basis points to infuse liquidity, aiming to stimulate economic activity amid global uncertainties (</w:t>
      </w:r>
      <w:hyperlink r:id="rId9">
        <w:r>
          <w:rPr>
            <w:color w:val="0000EE"/>
            <w:u w:val="single"/>
          </w:rPr>
          <w:t>Cafemutual, 2025</w:t>
        </w:r>
      </w:hyperlink>
      <w:r>
        <w:t>). GDP growth is projected to remain robust, with estimates hovering around 6–7% for the year, positioning India as one of the fastest-growing major economies globally (</w:t>
      </w:r>
      <w:hyperlink r:id="rId10">
        <w:r>
          <w:rPr>
            <w:color w:val="0000EE"/>
            <w:u w:val="single"/>
          </w:rPr>
          <w:t>ARIA, 2025</w:t>
        </w:r>
      </w:hyperlink>
      <w:r>
        <w:t>). Inflation rates are expected to stabilize within the 3–5% range, creating a favorable environment for both businesses and investors.</w:t>
      </w:r>
      <w:r/>
    </w:p>
    <w:p>
      <w:r/>
      <w:r>
        <w:t>Government policies continue to focus on infrastructure expansion, digital transformation, and incentives for manufacturing under the “Make in India” initiative. The Union Budget 2025 emphasizes capital expenditure, infrastructure, and tax reforms, all of which are expected to drive corporate earnings and market sentiment over the medium term (</w:t>
      </w:r>
      <w:hyperlink r:id="rId11">
        <w:r>
          <w:rPr>
            <w:color w:val="0000EE"/>
            <w:u w:val="single"/>
          </w:rPr>
          <w:t>Riddhi Siddhi Share Brokers, 2025</w:t>
        </w:r>
      </w:hyperlink>
      <w:r>
        <w:t>).</w:t>
      </w:r>
      <w:r/>
    </w:p>
    <w:p>
      <w:pPr>
        <w:pStyle w:val="Heading3"/>
      </w:pPr>
      <w:r>
        <w:t>Market Valuations and Liquidity Dynamics</w:t>
      </w:r>
      <w:r/>
    </w:p>
    <w:p>
      <w:r/>
      <w:r>
        <w:t>Valuations in the Indian equity market are currently elevated relative to historical averages and global peers. The MSCI India Index trades at a trailing price-to-earnings (PE) ratio of approximately 25, compared to the MSCI Emerging Markets Index at 15 and the MSCI World Index at 21. On a forward basis, the MSCI India Index commands a PE near 21, higher than the global average (</w:t>
      </w:r>
      <w:hyperlink r:id="rId12">
        <w:r>
          <w:rPr>
            <w:color w:val="0000EE"/>
            <w:u w:val="single"/>
          </w:rPr>
          <w:t>Financial Express, 2025</w:t>
        </w:r>
      </w:hyperlink>
      <w:r>
        <w:t>). This premium reflects strong domestic growth prospects but also introduces vulnerability to corrections should global risk appetite wane.</w:t>
      </w:r>
      <w:r/>
    </w:p>
    <w:p>
      <w:r/>
      <w:r>
        <w:t>Liquidity remains robust, supported by strong domestic institutional investor (DII) flows and resilient retail participation. However, foreign portfolio investor (FPI) flows have shown volatility, reacting to global risk factors such as U.S. Federal Reserve policy shifts, trade tensions, and geopolitical developments. The stability of the Indian rupee and ongoing reforms are expected to attract further foreign inflows, especially if global risk sentiment improves (</w:t>
      </w:r>
      <w:hyperlink r:id="rId9">
        <w:r>
          <w:rPr>
            <w:color w:val="0000EE"/>
            <w:u w:val="single"/>
          </w:rPr>
          <w:t>Cafemutual, 2025</w:t>
        </w:r>
      </w:hyperlink>
      <w:r>
        <w:t>).</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Index/Segment</w:t>
            </w:r>
          </w:p>
        </w:tc>
        <w:tc>
          <w:tcPr>
            <w:tcW w:type="dxa" w:w="2160"/>
          </w:tcPr>
          <w:p>
            <w:r>
              <w:rPr>
                <w:b/>
              </w:rPr>
              <w:t>Trailing PE</w:t>
            </w:r>
          </w:p>
        </w:tc>
        <w:tc>
          <w:tcPr>
            <w:tcW w:type="dxa" w:w="2160"/>
          </w:tcPr>
          <w:p>
            <w:r>
              <w:rPr>
                <w:b/>
              </w:rPr>
              <w:t>12M Forward PE</w:t>
            </w:r>
          </w:p>
        </w:tc>
        <w:tc>
          <w:tcPr>
            <w:tcW w:type="dxa" w:w="2160"/>
          </w:tcPr>
          <w:p>
            <w:r>
              <w:rPr>
                <w:b/>
              </w:rPr>
              <w:t>Global Peer PE (Trailing)</w:t>
            </w:r>
          </w:p>
        </w:tc>
      </w:tr>
      <w:tr>
        <w:tc>
          <w:tcPr>
            <w:tcW w:type="dxa" w:w="2160"/>
          </w:tcPr>
          <w:p>
            <w:r>
              <w:t>MSCI India</w:t>
            </w:r>
          </w:p>
        </w:tc>
        <w:tc>
          <w:tcPr>
            <w:tcW w:type="dxa" w:w="2160"/>
          </w:tcPr>
          <w:p>
            <w:r>
              <w:t>25</w:t>
            </w:r>
          </w:p>
        </w:tc>
        <w:tc>
          <w:tcPr>
            <w:tcW w:type="dxa" w:w="2160"/>
          </w:tcPr>
          <w:p>
            <w:r>
              <w:t>21</w:t>
            </w:r>
          </w:p>
        </w:tc>
        <w:tc>
          <w:tcPr>
            <w:tcW w:type="dxa" w:w="2160"/>
          </w:tcPr>
          <w:p>
            <w:r>
              <w:t>-</w:t>
            </w:r>
          </w:p>
        </w:tc>
      </w:tr>
      <w:tr>
        <w:tc>
          <w:tcPr>
            <w:tcW w:type="dxa" w:w="2160"/>
          </w:tcPr>
          <w:p>
            <w:r>
              <w:t>MSCI EM</w:t>
            </w:r>
          </w:p>
        </w:tc>
        <w:tc>
          <w:tcPr>
            <w:tcW w:type="dxa" w:w="2160"/>
          </w:tcPr>
          <w:p>
            <w:r>
              <w:t>15</w:t>
            </w:r>
          </w:p>
        </w:tc>
        <w:tc>
          <w:tcPr>
            <w:tcW w:type="dxa" w:w="2160"/>
          </w:tcPr>
          <w:p>
            <w:r>
              <w:t>12</w:t>
            </w:r>
          </w:p>
        </w:tc>
        <w:tc>
          <w:tcPr>
            <w:tcW w:type="dxa" w:w="2160"/>
          </w:tcPr>
          <w:p>
            <w:r>
              <w:t>-</w:t>
            </w:r>
          </w:p>
        </w:tc>
      </w:tr>
      <w:tr>
        <w:tc>
          <w:tcPr>
            <w:tcW w:type="dxa" w:w="2160"/>
          </w:tcPr>
          <w:p>
            <w:r>
              <w:t>MSCI World</w:t>
            </w:r>
          </w:p>
        </w:tc>
        <w:tc>
          <w:tcPr>
            <w:tcW w:type="dxa" w:w="2160"/>
          </w:tcPr>
          <w:p>
            <w:r>
              <w:t>21</w:t>
            </w:r>
          </w:p>
        </w:tc>
        <w:tc>
          <w:tcPr>
            <w:tcW w:type="dxa" w:w="2160"/>
          </w:tcPr>
          <w:p>
            <w:r>
              <w:t>18</w:t>
            </w:r>
          </w:p>
        </w:tc>
        <w:tc>
          <w:tcPr>
            <w:tcW w:type="dxa" w:w="2160"/>
          </w:tcPr>
          <w:p>
            <w:r>
              <w:t>-</w:t>
            </w:r>
          </w:p>
        </w:tc>
      </w:tr>
      <w:tr>
        <w:tc>
          <w:tcPr>
            <w:tcW w:type="dxa" w:w="2160"/>
          </w:tcPr>
          <w:p>
            <w:r>
              <w:t>BSE Sensex (April)</w:t>
            </w:r>
          </w:p>
        </w:tc>
        <w:tc>
          <w:tcPr>
            <w:tcW w:type="dxa" w:w="2160"/>
          </w:tcPr>
          <w:p>
            <w:r>
              <w:t>+6% (MoM)</w:t>
            </w:r>
          </w:p>
        </w:tc>
        <w:tc>
          <w:tcPr>
            <w:tcW w:type="dxa" w:w="2160"/>
          </w:tcPr>
          <w:p>
            <w:r>
              <w:t>-</w:t>
            </w:r>
          </w:p>
        </w:tc>
        <w:tc>
          <w:tcPr>
            <w:tcW w:type="dxa" w:w="2160"/>
          </w:tcPr>
          <w:p>
            <w:r>
              <w:t>-</w:t>
            </w:r>
          </w:p>
        </w:tc>
      </w:tr>
    </w:tbl>
    <w:p>
      <w:r/>
    </w:p>
    <w:p>
      <w:pPr>
        <w:pStyle w:val="Heading3"/>
      </w:pPr>
      <w:r>
        <w:t>Sectoral Performance and Rotation</w:t>
      </w:r>
      <w:r/>
    </w:p>
    <w:p>
      <w:r/>
      <w:r>
        <w:t>The Indian stock market’s sectoral landscape in 2025 is marked by pronounced rotation, with certain sectors consistently outperforming due to structural tailwinds and policy support, while others face headwinds from global and domestic challenges.</w:t>
      </w:r>
      <w:r/>
    </w:p>
    <w:p>
      <w:pPr>
        <w:pStyle w:val="Heading4"/>
      </w:pPr>
      <w:r>
        <w:t>High-Growth Sectors</w:t>
      </w:r>
      <w:r/>
      <w:r/>
    </w:p>
    <w:p>
      <w:pPr>
        <w:pStyle w:val="ListBullet"/>
        <w:spacing w:line="240" w:lineRule="auto"/>
        <w:ind w:left="720"/>
      </w:pPr>
      <w:r/>
      <w:r>
        <w:rPr>
          <w:b/>
        </w:rPr>
        <w:t>Information Technology (IT) &amp; Digital Services:</w:t>
      </w:r>
      <w:r>
        <w:t xml:space="preserve"> Despite recent tepid earnings, the IT sector remains a long-term growth engine, benefiting from global digital transformation, rising demand for outsourcing, and India’s skilled talent pool. Leading IT firms continue to post strong order books, and the sector is expected to benefit from the adoption of AI and cloud technologies (</w:t>
      </w:r>
      <w:hyperlink r:id="rId13">
        <w:r>
          <w:rPr>
            <w:color w:val="0000EE"/>
            <w:u w:val="single"/>
          </w:rPr>
          <w:t>India Agent, 2025</w:t>
        </w:r>
      </w:hyperlink>
      <w:r>
        <w:t>).</w:t>
      </w:r>
      <w:r/>
    </w:p>
    <w:p>
      <w:pPr>
        <w:pStyle w:val="ListBullet"/>
        <w:spacing w:line="240" w:lineRule="auto"/>
        <w:ind w:left="720"/>
      </w:pPr>
      <w:r/>
      <w:r>
        <w:rPr>
          <w:b/>
        </w:rPr>
        <w:t>Green Energy &amp; Renewables:</w:t>
      </w:r>
      <w:r>
        <w:t xml:space="preserve"> Driven by government targets for renewable energy capacity, this sector is experiencing rapid investment and policy momentum. Companies in solar, wind, and related infrastructure are poised for multi-year growth (</w:t>
      </w:r>
      <w:hyperlink r:id="rId14">
        <w:r>
          <w:rPr>
            <w:color w:val="0000EE"/>
            <w:u w:val="single"/>
          </w:rPr>
          <w:t>Jarvis Invest, 2025</w:t>
        </w:r>
      </w:hyperlink>
      <w:r>
        <w:t>).</w:t>
      </w:r>
      <w:r/>
    </w:p>
    <w:p>
      <w:pPr>
        <w:pStyle w:val="ListBullet"/>
        <w:spacing w:line="240" w:lineRule="auto"/>
        <w:ind w:left="720"/>
      </w:pPr>
      <w:r/>
      <w:r>
        <w:rPr>
          <w:b/>
        </w:rPr>
        <w:t>Automobiles &amp; Electric Vehicles (EVs):</w:t>
      </w:r>
      <w:r>
        <w:t xml:space="preserve"> The EV segment is expanding rapidly, fueled by government incentives, rising consumer adoption, and investments in charging infrastructure. Leading auto manufacturers and ancillary companies are well-positioned for secular growth (</w:t>
      </w:r>
      <w:hyperlink r:id="rId14">
        <w:r>
          <w:rPr>
            <w:color w:val="0000EE"/>
            <w:u w:val="single"/>
          </w:rPr>
          <w:t>Jarvis Invest, 2025</w:t>
        </w:r>
      </w:hyperlink>
      <w:r>
        <w:t>).</w:t>
      </w:r>
      <w:r/>
    </w:p>
    <w:p>
      <w:pPr>
        <w:pStyle w:val="ListBullet"/>
        <w:spacing w:line="240" w:lineRule="auto"/>
        <w:ind w:left="720"/>
      </w:pPr>
      <w:r/>
      <w:r>
        <w:rPr>
          <w:b/>
        </w:rPr>
        <w:t>Financial Services:</w:t>
      </w:r>
      <w:r>
        <w:t xml:space="preserve"> Banks and non-banking financial companies (NBFCs) are benefiting from credit growth, asset quality improvements, and digital banking trends. The sector is also a major beneficiary of rising consumption and infrastructure financing (</w:t>
      </w:r>
      <w:hyperlink r:id="rId15">
        <w:r>
          <w:rPr>
            <w:color w:val="0000EE"/>
            <w:u w:val="single"/>
          </w:rPr>
          <w:t>Bain, 2025</w:t>
        </w:r>
      </w:hyperlink>
      <w:r>
        <w:t>).</w:t>
      </w:r>
      <w:r/>
    </w:p>
    <w:p>
      <w:pPr>
        <w:pStyle w:val="ListBullet"/>
        <w:spacing w:line="240" w:lineRule="auto"/>
        <w:ind w:left="720"/>
      </w:pPr>
      <w:r/>
      <w:r>
        <w:rPr>
          <w:b/>
        </w:rPr>
        <w:t>Infrastructure:</w:t>
      </w:r>
      <w:r>
        <w:t xml:space="preserve"> Government focus on roads, railways, and urban development continues to drive demand for construction, engineering, and capital goods companies (</w:t>
      </w:r>
      <w:hyperlink r:id="rId10">
        <w:r>
          <w:rPr>
            <w:color w:val="0000EE"/>
            <w:u w:val="single"/>
          </w:rPr>
          <w:t>ARIA, 2025</w:t>
        </w:r>
      </w:hyperlink>
      <w:r>
        <w:t>).</w:t>
      </w:r>
      <w:r/>
      <w:r/>
    </w:p>
    <w:p>
      <w:pPr>
        <w:pStyle w:val="Heading4"/>
      </w:pPr>
      <w:r>
        <w:t>Underperforming or Volatile Sectors</w:t>
      </w:r>
      <w:r/>
      <w:r/>
    </w:p>
    <w:p>
      <w:pPr>
        <w:pStyle w:val="ListBullet"/>
        <w:spacing w:line="240" w:lineRule="auto"/>
        <w:ind w:left="720"/>
      </w:pPr>
      <w:r/>
      <w:r>
        <w:rPr>
          <w:b/>
        </w:rPr>
        <w:t>Industrial Gases:</w:t>
      </w:r>
      <w:r>
        <w:t xml:space="preserve"> The sector saw a sharp decline of -15.6% in October 2024, reflecting demand-side pressures and input cost volatility (</w:t>
      </w:r>
      <w:hyperlink r:id="rId16">
        <w:r>
          <w:rPr>
            <w:color w:val="0000EE"/>
            <w:u w:val="single"/>
          </w:rPr>
          <w:t>Forbes Advisor, 2024</w:t>
        </w:r>
      </w:hyperlink>
      <w:r>
        <w:t>).</w:t>
      </w:r>
      <w:r/>
    </w:p>
    <w:p>
      <w:pPr>
        <w:pStyle w:val="ListBullet"/>
        <w:spacing w:line="240" w:lineRule="auto"/>
        <w:ind w:left="720"/>
      </w:pPr>
      <w:r/>
      <w:r>
        <w:rPr>
          <w:b/>
        </w:rPr>
        <w:t>Consumer Discretionary:</w:t>
      </w:r>
      <w:r>
        <w:t xml:space="preserve"> While long-term prospects are positive, near-term performance is muted due to tepid earnings and cautious consumer sentiment.</w:t>
      </w:r>
      <w:r/>
    </w:p>
    <w:p>
      <w:pPr>
        <w:pStyle w:val="ListBullet"/>
        <w:spacing w:line="240" w:lineRule="auto"/>
        <w:ind w:left="720"/>
      </w:pPr>
      <w:r/>
      <w:r>
        <w:rPr>
          <w:b/>
        </w:rPr>
        <w:t>IT (Short-Term):</w:t>
      </w:r>
      <w:r>
        <w:t xml:space="preserve"> Despite long-term promise, the sector experienced lackluster results in the latest earnings season, weighed down by global demand uncertainty (</w:t>
      </w:r>
      <w:hyperlink r:id="rId9">
        <w:r>
          <w:rPr>
            <w:color w:val="0000EE"/>
            <w:u w:val="single"/>
          </w:rPr>
          <w:t>Cafemutual, 2025</w:t>
        </w:r>
      </w:hyperlink>
      <w:r>
        <w:t>).</w:t>
      </w:r>
      <w:r/>
      <w:r/>
    </w:p>
    <w:p>
      <w:pPr>
        <w:pStyle w:val="Heading3"/>
      </w:pPr>
      <w:r>
        <w:t>Risk Factors and Volatility Drivers</w:t>
      </w:r>
      <w:r/>
    </w:p>
    <w:p>
      <w:r/>
      <w:r>
        <w:t>The current market environment is shaped by a confluence of global and domestic risks:</w:t>
      </w:r>
      <w:r/>
      <w:r/>
    </w:p>
    <w:p>
      <w:pPr>
        <w:pStyle w:val="ListBullet"/>
        <w:spacing w:line="240" w:lineRule="auto"/>
        <w:ind w:left="720"/>
      </w:pPr>
      <w:r/>
      <w:r>
        <w:rPr>
          <w:b/>
        </w:rPr>
        <w:t>Global Trade Tensions:</w:t>
      </w:r>
      <w:r>
        <w:t xml:space="preserve"> Fluctuating U.S. trade policies and retaliatory tariffs, particularly involving China, have injected volatility into global markets, impacting FPI flows and sectoral performance in India (</w:t>
      </w:r>
      <w:hyperlink r:id="rId9">
        <w:r>
          <w:rPr>
            <w:color w:val="0000EE"/>
            <w:u w:val="single"/>
          </w:rPr>
          <w:t>Cafemutual, 2025</w:t>
        </w:r>
      </w:hyperlink>
      <w:r>
        <w:t>).</w:t>
      </w:r>
      <w:r/>
    </w:p>
    <w:p>
      <w:pPr>
        <w:pStyle w:val="ListBullet"/>
        <w:spacing w:line="240" w:lineRule="auto"/>
        <w:ind w:left="720"/>
      </w:pPr>
      <w:r/>
      <w:r>
        <w:rPr>
          <w:b/>
        </w:rPr>
        <w:t>Geopolitical Uncertainties:</w:t>
      </w:r>
      <w:r>
        <w:t xml:space="preserve"> Events such as rising crude oil prices, Middle East conflicts, and India–Pakistan relations can affect inflation, currency stability, and corporate profitability (</w:t>
      </w:r>
      <w:hyperlink r:id="rId11">
        <w:r>
          <w:rPr>
            <w:color w:val="0000EE"/>
            <w:u w:val="single"/>
          </w:rPr>
          <w:t>Riddhi Siddhi Share Brokers, 2025</w:t>
        </w:r>
      </w:hyperlink>
      <w:r>
        <w:t>).</w:t>
      </w:r>
      <w:r/>
    </w:p>
    <w:p>
      <w:pPr>
        <w:pStyle w:val="ListBullet"/>
        <w:spacing w:line="240" w:lineRule="auto"/>
        <w:ind w:left="720"/>
      </w:pPr>
      <w:r/>
      <w:r>
        <w:rPr>
          <w:b/>
        </w:rPr>
        <w:t>Valuation Risks:</w:t>
      </w:r>
      <w:r>
        <w:t xml:space="preserve"> Elevated valuations, especially in midcap and smallcap segments, raise the risk of corrections. The midcap-to-Sensex and smallcap-to-Sensex ratios remain above long-term medians, indicating residual froth despite recent moderation (</w:t>
      </w:r>
      <w:hyperlink r:id="rId12">
        <w:r>
          <w:rPr>
            <w:color w:val="0000EE"/>
            <w:u w:val="single"/>
          </w:rPr>
          <w:t>Financial Express, 2025</w:t>
        </w:r>
      </w:hyperlink>
      <w:r>
        <w:t>).</w:t>
      </w:r>
      <w:r/>
    </w:p>
    <w:p>
      <w:pPr>
        <w:pStyle w:val="ListBullet"/>
        <w:spacing w:line="240" w:lineRule="auto"/>
        <w:ind w:left="720"/>
      </w:pPr>
      <w:r/>
      <w:r>
        <w:rPr>
          <w:b/>
        </w:rPr>
        <w:t>Earnings Uncertainty:</w:t>
      </w:r>
      <w:r>
        <w:t xml:space="preserve"> Corporate earnings, particularly in consumer and IT sectors, are under scrutiny. While financials and select manufacturing segments are expected to deliver, any major downgrades could trigger broader market corrections (</w:t>
      </w:r>
      <w:hyperlink r:id="rId9">
        <w:r>
          <w:rPr>
            <w:color w:val="0000EE"/>
            <w:u w:val="single"/>
          </w:rPr>
          <w:t>Cafemutual, 2025</w:t>
        </w:r>
      </w:hyperlink>
      <w:r>
        <w:t>).</w:t>
      </w:r>
      <w:r/>
      <w:r/>
    </w:p>
    <w:p>
      <w:pPr>
        <w:pStyle w:val="Heading3"/>
      </w:pPr>
      <w:r>
        <w:t>Five-Year Investment Outlook: Sectoral Opportunities</w:t>
      </w:r>
      <w:r/>
    </w:p>
    <w:p>
      <w:r/>
      <w:r>
        <w:t>For investors with a five-year horizon, the following sectors offer compelling opportunities, supported by structural growth drivers and favorable policy environments:</w:t>
      </w:r>
      <w:r/>
    </w:p>
    <w:tbl>
      <w:tblPr>
        <w:tblW w:type="auto" w:w="0"/>
        <w:tblLook w:firstColumn="1" w:firstRow="1" w:lastColumn="0" w:lastRow="0" w:noHBand="0" w:noVBand="1" w:val="04A0"/>
      </w:tblPr>
      <w:tblGrid>
        <w:gridCol w:w="2880"/>
        <w:gridCol w:w="2880"/>
        <w:gridCol w:w="2880"/>
      </w:tblGrid>
      <w:tr>
        <w:tc>
          <w:tcPr>
            <w:tcW w:type="dxa" w:w="2880"/>
          </w:tcPr>
          <w:p>
            <w:r>
              <w:rPr>
                <w:b/>
              </w:rPr>
              <w:t>Sector</w:t>
            </w:r>
          </w:p>
        </w:tc>
        <w:tc>
          <w:tcPr>
            <w:tcW w:type="dxa" w:w="2880"/>
          </w:tcPr>
          <w:p>
            <w:r>
              <w:rPr>
                <w:b/>
              </w:rPr>
              <w:t>Key Growth Drivers</w:t>
            </w:r>
          </w:p>
        </w:tc>
        <w:tc>
          <w:tcPr>
            <w:tcW w:type="dxa" w:w="2880"/>
          </w:tcPr>
          <w:p>
            <w:r>
              <w:rPr>
                <w:b/>
              </w:rPr>
              <w:t>Five-Year Outlook (2025–2030)</w:t>
            </w:r>
          </w:p>
        </w:tc>
      </w:tr>
      <w:tr>
        <w:tc>
          <w:tcPr>
            <w:tcW w:type="dxa" w:w="2880"/>
          </w:tcPr>
          <w:p>
            <w:r>
              <w:t>Information Technology</w:t>
            </w:r>
          </w:p>
        </w:tc>
        <w:tc>
          <w:tcPr>
            <w:tcW w:type="dxa" w:w="2880"/>
          </w:tcPr>
          <w:p>
            <w:r>
              <w:t>Digitalization, AI, global outsourcing</w:t>
            </w:r>
          </w:p>
        </w:tc>
        <w:tc>
          <w:tcPr>
            <w:tcW w:type="dxa" w:w="2880"/>
          </w:tcPr>
          <w:p>
            <w:r>
              <w:t>High, with cyclical volatility</w:t>
            </w:r>
          </w:p>
        </w:tc>
      </w:tr>
      <w:tr>
        <w:tc>
          <w:tcPr>
            <w:tcW w:type="dxa" w:w="2880"/>
          </w:tcPr>
          <w:p>
            <w:r>
              <w:t>Green Energy/EVs</w:t>
            </w:r>
          </w:p>
        </w:tc>
        <w:tc>
          <w:tcPr>
            <w:tcW w:type="dxa" w:w="2880"/>
          </w:tcPr>
          <w:p>
            <w:r>
              <w:t>Policy incentives, ESG focus, consumer adoption</w:t>
            </w:r>
          </w:p>
        </w:tc>
        <w:tc>
          <w:tcPr>
            <w:tcW w:type="dxa" w:w="2880"/>
          </w:tcPr>
          <w:p>
            <w:r>
              <w:t>Very High, secular growth</w:t>
            </w:r>
          </w:p>
        </w:tc>
      </w:tr>
      <w:tr>
        <w:tc>
          <w:tcPr>
            <w:tcW w:type="dxa" w:w="2880"/>
          </w:tcPr>
          <w:p>
            <w:r>
              <w:t>Financial Services</w:t>
            </w:r>
          </w:p>
        </w:tc>
        <w:tc>
          <w:tcPr>
            <w:tcW w:type="dxa" w:w="2880"/>
          </w:tcPr>
          <w:p>
            <w:r>
              <w:t>Credit expansion, fintech, rising incomes</w:t>
            </w:r>
          </w:p>
        </w:tc>
        <w:tc>
          <w:tcPr>
            <w:tcW w:type="dxa" w:w="2880"/>
          </w:tcPr>
          <w:p>
            <w:r>
              <w:t>High, stable returns</w:t>
            </w:r>
          </w:p>
        </w:tc>
      </w:tr>
      <w:tr>
        <w:tc>
          <w:tcPr>
            <w:tcW w:type="dxa" w:w="2880"/>
          </w:tcPr>
          <w:p>
            <w:r>
              <w:t>Infrastructure</w:t>
            </w:r>
          </w:p>
        </w:tc>
        <w:tc>
          <w:tcPr>
            <w:tcW w:type="dxa" w:w="2880"/>
          </w:tcPr>
          <w:p>
            <w:r>
              <w:t>Government capex, urbanization, “China+1” manufacturing</w:t>
            </w:r>
          </w:p>
        </w:tc>
        <w:tc>
          <w:tcPr>
            <w:tcW w:type="dxa" w:w="2880"/>
          </w:tcPr>
          <w:p>
            <w:r>
              <w:t>High, driven by policy support</w:t>
            </w:r>
          </w:p>
        </w:tc>
      </w:tr>
      <w:tr>
        <w:tc>
          <w:tcPr>
            <w:tcW w:type="dxa" w:w="2880"/>
          </w:tcPr>
          <w:p>
            <w:r>
              <w:t>Healthcare/Pharma</w:t>
            </w:r>
          </w:p>
        </w:tc>
        <w:tc>
          <w:tcPr>
            <w:tcW w:type="dxa" w:w="2880"/>
          </w:tcPr>
          <w:p>
            <w:r>
              <w:t>Demographics, export growth, innovation</w:t>
            </w:r>
          </w:p>
        </w:tc>
        <w:tc>
          <w:tcPr>
            <w:tcW w:type="dxa" w:w="2880"/>
          </w:tcPr>
          <w:p>
            <w:r>
              <w:t>High, resilient to cycles</w:t>
            </w:r>
          </w:p>
        </w:tc>
      </w:tr>
    </w:tbl>
    <w:p>
      <w:r/>
      <w:r/>
    </w:p>
    <w:p>
      <w:pPr>
        <w:pStyle w:val="ListBullet"/>
        <w:spacing w:line="240" w:lineRule="auto"/>
        <w:ind w:left="720"/>
      </w:pPr>
      <w:r/>
      <w:r>
        <w:rPr>
          <w:b/>
        </w:rPr>
        <w:t>Information Technology:</w:t>
      </w:r>
      <w:r>
        <w:t xml:space="preserve"> The sector is expected to benefit from continued global digital transformation, AI adoption, and India’s competitive advantage in skilled talent. While short-term earnings may fluctuate, long-term prospects remain robust (</w:t>
      </w:r>
      <w:hyperlink r:id="rId13">
        <w:r>
          <w:rPr>
            <w:color w:val="0000EE"/>
            <w:u w:val="single"/>
          </w:rPr>
          <w:t>India Agent, 2025</w:t>
        </w:r>
      </w:hyperlink>
      <w:r>
        <w:t>).</w:t>
      </w:r>
      <w:r/>
    </w:p>
    <w:p>
      <w:pPr>
        <w:pStyle w:val="ListBullet"/>
        <w:spacing w:line="240" w:lineRule="auto"/>
        <w:ind w:left="720"/>
      </w:pPr>
      <w:r/>
      <w:r>
        <w:rPr>
          <w:b/>
        </w:rPr>
        <w:t>Green Energy and EVs:</w:t>
      </w:r>
      <w:r>
        <w:t xml:space="preserve"> With India targeting 500 GW of non-fossil fuel capacity by 2030 and aggressive EV adoption targets, companies in these segments are poised for multi-year growth (</w:t>
      </w:r>
      <w:hyperlink r:id="rId14">
        <w:r>
          <w:rPr>
            <w:color w:val="0000EE"/>
            <w:u w:val="single"/>
          </w:rPr>
          <w:t>Jarvis Invest, 2025</w:t>
        </w:r>
      </w:hyperlink>
      <w:r>
        <w:t>).</w:t>
      </w:r>
      <w:r/>
    </w:p>
    <w:p>
      <w:pPr>
        <w:pStyle w:val="ListBullet"/>
        <w:spacing w:line="240" w:lineRule="auto"/>
        <w:ind w:left="720"/>
      </w:pPr>
      <w:r/>
      <w:r>
        <w:rPr>
          <w:b/>
        </w:rPr>
        <w:t>Financial Services:</w:t>
      </w:r>
      <w:r>
        <w:t xml:space="preserve"> Rising financial inclusion, digital banking, and credit penetration support the sector’s growth. Private banks, insurance, and fintech are particularly attractive for long-term investors (</w:t>
      </w:r>
      <w:hyperlink r:id="rId15">
        <w:r>
          <w:rPr>
            <w:color w:val="0000EE"/>
            <w:u w:val="single"/>
          </w:rPr>
          <w:t>Bain, 2025</w:t>
        </w:r>
      </w:hyperlink>
      <w:r>
        <w:t>).</w:t>
      </w:r>
      <w:r/>
    </w:p>
    <w:p>
      <w:pPr>
        <w:pStyle w:val="ListBullet"/>
        <w:spacing w:line="240" w:lineRule="auto"/>
        <w:ind w:left="720"/>
      </w:pPr>
      <w:r/>
      <w:r>
        <w:rPr>
          <w:b/>
        </w:rPr>
        <w:t>Infrastructure:</w:t>
      </w:r>
      <w:r>
        <w:t xml:space="preserve"> The government’s focus on infrastructure spending, including roads, railways, and smart cities, creates a strong pipeline for engineering, construction, and capital goods firms (</w:t>
      </w:r>
      <w:hyperlink r:id="rId10">
        <w:r>
          <w:rPr>
            <w:color w:val="0000EE"/>
            <w:u w:val="single"/>
          </w:rPr>
          <w:t>ARIA, 2025</w:t>
        </w:r>
      </w:hyperlink>
      <w:r>
        <w:t>).</w:t>
      </w:r>
      <w:r/>
    </w:p>
    <w:p>
      <w:pPr>
        <w:pStyle w:val="ListBullet"/>
        <w:spacing w:line="240" w:lineRule="auto"/>
        <w:ind w:left="720"/>
      </w:pPr>
      <w:r/>
      <w:r>
        <w:rPr>
          <w:b/>
        </w:rPr>
        <w:t>Healthcare and Pharma:</w:t>
      </w:r>
      <w:r>
        <w:t xml:space="preserve"> The sector benefits from rising domestic demand, export growth, and innovation in biotech and generics, making it resilient across cycles (</w:t>
      </w:r>
      <w:hyperlink r:id="rId15">
        <w:r>
          <w:rPr>
            <w:color w:val="0000EE"/>
            <w:u w:val="single"/>
          </w:rPr>
          <w:t>Bain, 2025</w:t>
        </w:r>
      </w:hyperlink>
      <w:r>
        <w:t>).</w:t>
      </w:r>
      <w:r/>
      <w:r/>
    </w:p>
    <w:p>
      <w:pPr>
        <w:pStyle w:val="Heading3"/>
      </w:pPr>
      <w:r>
        <w:t>Investment Strategies and Portfolio Considerations</w:t>
      </w:r>
      <w:r/>
    </w:p>
    <w:p>
      <w:r/>
      <w:r>
        <w:t>Given the current market condition and five-year outlook, investors should consider the following strategies:</w:t>
      </w:r>
      <w:r/>
      <w:r/>
    </w:p>
    <w:p>
      <w:pPr>
        <w:pStyle w:val="ListBullet"/>
        <w:spacing w:line="240" w:lineRule="auto"/>
        <w:ind w:left="720"/>
      </w:pPr>
      <w:r/>
      <w:r>
        <w:rPr>
          <w:b/>
        </w:rPr>
        <w:t>Diversification:</w:t>
      </w:r>
      <w:r>
        <w:t xml:space="preserve"> Allocate across sectors and market capitalizations (large-cap, mid-cap, small-cap) to mitigate risks associated with sectoral rotation and valuation corrections (</w:t>
      </w:r>
      <w:hyperlink r:id="rId10">
        <w:r>
          <w:rPr>
            <w:color w:val="0000EE"/>
            <w:u w:val="single"/>
          </w:rPr>
          <w:t>ARIA, 2025</w:t>
        </w:r>
      </w:hyperlink>
      <w:r>
        <w:t>).</w:t>
      </w:r>
      <w:r/>
    </w:p>
    <w:p>
      <w:pPr>
        <w:pStyle w:val="ListBullet"/>
        <w:spacing w:line="240" w:lineRule="auto"/>
        <w:ind w:left="720"/>
      </w:pPr>
      <w:r/>
      <w:r>
        <w:rPr>
          <w:b/>
        </w:rPr>
        <w:t>Systematic Investment Plans (SIPs):</w:t>
      </w:r>
      <w:r>
        <w:t xml:space="preserve"> Regular, disciplined investment through SIPs helps manage volatility and benefit from rupee-cost averaging, especially in a market prone to short-term swings (</w:t>
      </w:r>
      <w:hyperlink r:id="rId12">
        <w:r>
          <w:rPr>
            <w:color w:val="0000EE"/>
            <w:u w:val="single"/>
          </w:rPr>
          <w:t>Financial Express, 2025</w:t>
        </w:r>
      </w:hyperlink>
      <w:r>
        <w:t>).</w:t>
      </w:r>
      <w:r/>
    </w:p>
    <w:p>
      <w:pPr>
        <w:pStyle w:val="ListBullet"/>
        <w:spacing w:line="240" w:lineRule="auto"/>
        <w:ind w:left="720"/>
      </w:pPr>
      <w:r/>
      <w:r>
        <w:rPr>
          <w:b/>
        </w:rPr>
        <w:t>Focus on Fundamentals:</w:t>
      </w:r>
      <w:r>
        <w:t xml:space="preserve"> Prioritize companies with strong balance sheets, consistent earnings growth, and competitive moats. Market leaders in high-growth sectors are likely to outperform over the long term (</w:t>
      </w:r>
      <w:hyperlink r:id="rId14">
        <w:r>
          <w:rPr>
            <w:color w:val="0000EE"/>
            <w:u w:val="single"/>
          </w:rPr>
          <w:t>Jarvis Invest, 2025</w:t>
        </w:r>
      </w:hyperlink>
      <w:r>
        <w:t>).</w:t>
      </w:r>
      <w:r/>
    </w:p>
    <w:p>
      <w:pPr>
        <w:pStyle w:val="ListBullet"/>
        <w:spacing w:line="240" w:lineRule="auto"/>
        <w:ind w:left="720"/>
      </w:pPr>
      <w:r/>
      <w:r>
        <w:rPr>
          <w:b/>
        </w:rPr>
        <w:t>Valuation Discipline:</w:t>
      </w:r>
      <w:r>
        <w:t xml:space="preserve"> Be cautious with fresh allocations to midcap and smallcap segments, given their elevated valuations. Consider staggered or SIP-based entry to manage downside risk (</w:t>
      </w:r>
      <w:hyperlink r:id="rId12">
        <w:r>
          <w:rPr>
            <w:color w:val="0000EE"/>
            <w:u w:val="single"/>
          </w:rPr>
          <w:t>Financial Express, 2025</w:t>
        </w:r>
      </w:hyperlink>
      <w:r>
        <w:t>).</w:t>
      </w:r>
      <w:r/>
    </w:p>
    <w:p>
      <w:pPr>
        <w:pStyle w:val="ListBullet"/>
        <w:spacing w:line="240" w:lineRule="auto"/>
        <w:ind w:left="720"/>
      </w:pPr>
      <w:r/>
      <w:r>
        <w:rPr>
          <w:b/>
        </w:rPr>
        <w:t>Monitor Policy and Global Developments:</w:t>
      </w:r>
      <w:r>
        <w:t xml:space="preserve"> Stay alert to changes in government policy, global trade dynamics, and central bank actions, as these can significantly impact sectoral performance and overall market direction (</w:t>
      </w:r>
      <w:hyperlink r:id="rId9">
        <w:r>
          <w:rPr>
            <w:color w:val="0000EE"/>
            <w:u w:val="single"/>
          </w:rPr>
          <w:t>Cafemutual, 2025</w:t>
        </w:r>
      </w:hyperlink>
      <w:r>
        <w:t>).</w:t>
      </w:r>
      <w:r/>
      <w:r/>
    </w:p>
    <w:tbl>
      <w:tblPr>
        <w:tblW w:type="auto" w:w="0"/>
        <w:tblLook w:firstColumn="1" w:firstRow="1" w:lastColumn="0" w:lastRow="0" w:noHBand="0" w:noVBand="1" w:val="04A0"/>
      </w:tblPr>
      <w:tblGrid>
        <w:gridCol w:w="4320"/>
        <w:gridCol w:w="4320"/>
      </w:tblGrid>
      <w:tr>
        <w:tc>
          <w:tcPr>
            <w:tcW w:type="dxa" w:w="4320"/>
          </w:tcPr>
          <w:p>
            <w:r>
              <w:rPr>
                <w:b/>
              </w:rPr>
              <w:t>Strategy</w:t>
            </w:r>
          </w:p>
        </w:tc>
        <w:tc>
          <w:tcPr>
            <w:tcW w:type="dxa" w:w="4320"/>
          </w:tcPr>
          <w:p>
            <w:r>
              <w:rPr>
                <w:b/>
              </w:rPr>
              <w:t>Rationale</w:t>
            </w:r>
          </w:p>
        </w:tc>
      </w:tr>
      <w:tr>
        <w:tc>
          <w:tcPr>
            <w:tcW w:type="dxa" w:w="4320"/>
          </w:tcPr>
          <w:p>
            <w:r>
              <w:t>Diversification</w:t>
            </w:r>
          </w:p>
        </w:tc>
        <w:tc>
          <w:tcPr>
            <w:tcW w:type="dxa" w:w="4320"/>
          </w:tcPr>
          <w:p>
            <w:r>
              <w:t>Reduces sector-specific risk</w:t>
            </w:r>
          </w:p>
        </w:tc>
      </w:tr>
      <w:tr>
        <w:tc>
          <w:tcPr>
            <w:tcW w:type="dxa" w:w="4320"/>
          </w:tcPr>
          <w:p>
            <w:r>
              <w:t>SIPs</w:t>
            </w:r>
          </w:p>
        </w:tc>
        <w:tc>
          <w:tcPr>
            <w:tcW w:type="dxa" w:w="4320"/>
          </w:tcPr>
          <w:p>
            <w:r>
              <w:t>Smooths volatility, enforces discipline</w:t>
            </w:r>
          </w:p>
        </w:tc>
      </w:tr>
      <w:tr>
        <w:tc>
          <w:tcPr>
            <w:tcW w:type="dxa" w:w="4320"/>
          </w:tcPr>
          <w:p>
            <w:r>
              <w:t>Focus on Fundamentals</w:t>
            </w:r>
          </w:p>
        </w:tc>
        <w:tc>
          <w:tcPr>
            <w:tcW w:type="dxa" w:w="4320"/>
          </w:tcPr>
          <w:p>
            <w:r>
              <w:t>Enhances long-term return potential</w:t>
            </w:r>
          </w:p>
        </w:tc>
      </w:tr>
      <w:tr>
        <w:tc>
          <w:tcPr>
            <w:tcW w:type="dxa" w:w="4320"/>
          </w:tcPr>
          <w:p>
            <w:r>
              <w:t>Valuation Discipline</w:t>
            </w:r>
          </w:p>
        </w:tc>
        <w:tc>
          <w:tcPr>
            <w:tcW w:type="dxa" w:w="4320"/>
          </w:tcPr>
          <w:p>
            <w:r>
              <w:t>Prevents overexposure to overheated segments</w:t>
            </w:r>
          </w:p>
        </w:tc>
      </w:tr>
      <w:tr>
        <w:tc>
          <w:tcPr>
            <w:tcW w:type="dxa" w:w="4320"/>
          </w:tcPr>
          <w:p>
            <w:r>
              <w:t>Policy/Global Monitoring</w:t>
            </w:r>
          </w:p>
        </w:tc>
        <w:tc>
          <w:tcPr>
            <w:tcW w:type="dxa" w:w="4320"/>
          </w:tcPr>
          <w:p>
            <w:r>
              <w:t>Enables timely tactical adjustments</w:t>
            </w:r>
          </w:p>
        </w:tc>
      </w:tr>
    </w:tbl>
    <w:p>
      <w:r/>
    </w:p>
    <w:p>
      <w:pPr>
        <w:pStyle w:val="Heading3"/>
      </w:pPr>
      <w:r>
        <w:t>Outlook for Key Indices</w:t>
      </w:r>
      <w:r/>
    </w:p>
    <w:p>
      <w:r/>
      <w:r>
        <w:t>The Nifty 50 is projected to trade in the 21,500–27,000 range by the end of 2025, reflecting both the upside potential and the risk of intermittent corrections. The Sensex and Nifty Bank indices have shown resilience, supported by strong corporate earnings and structural reforms (</w:t>
      </w:r>
      <w:hyperlink r:id="rId17">
        <w:r>
          <w:rPr>
            <w:color w:val="0000EE"/>
            <w:u w:val="single"/>
          </w:rPr>
          <w:t>ByteStack360, 2025</w:t>
        </w:r>
      </w:hyperlink>
      <w:r>
        <w:t>). However, short-term volatility is expected to persist, driven by global macroeconomic developments and sectoral earnings.</w:t>
      </w:r>
      <w:r/>
    </w:p>
    <w:tbl>
      <w:tblPr>
        <w:tblW w:type="auto" w:w="0"/>
        <w:tblLook w:firstColumn="1" w:firstRow="1" w:lastColumn="0" w:lastRow="0" w:noHBand="0" w:noVBand="1" w:val="04A0"/>
      </w:tblPr>
      <w:tblGrid>
        <w:gridCol w:w="2880"/>
        <w:gridCol w:w="2880"/>
        <w:gridCol w:w="2880"/>
      </w:tblGrid>
      <w:tr>
        <w:tc>
          <w:tcPr>
            <w:tcW w:type="dxa" w:w="2880"/>
          </w:tcPr>
          <w:p>
            <w:r>
              <w:rPr>
                <w:b/>
              </w:rPr>
              <w:t>Index</w:t>
            </w:r>
          </w:p>
        </w:tc>
        <w:tc>
          <w:tcPr>
            <w:tcW w:type="dxa" w:w="2880"/>
          </w:tcPr>
          <w:p>
            <w:r>
              <w:rPr>
                <w:b/>
              </w:rPr>
              <w:t>Projected 2025 Range</w:t>
            </w:r>
          </w:p>
        </w:tc>
        <w:tc>
          <w:tcPr>
            <w:tcW w:type="dxa" w:w="2880"/>
          </w:tcPr>
          <w:p>
            <w:r>
              <w:rPr>
                <w:b/>
              </w:rPr>
              <w:t>Key Drivers</w:t>
            </w:r>
          </w:p>
        </w:tc>
      </w:tr>
      <w:tr>
        <w:tc>
          <w:tcPr>
            <w:tcW w:type="dxa" w:w="2880"/>
          </w:tcPr>
          <w:p>
            <w:r>
              <w:t>Nifty 50</w:t>
            </w:r>
          </w:p>
        </w:tc>
        <w:tc>
          <w:tcPr>
            <w:tcW w:type="dxa" w:w="2880"/>
          </w:tcPr>
          <w:p>
            <w:r>
              <w:t>21,500–27,000</w:t>
            </w:r>
          </w:p>
        </w:tc>
        <w:tc>
          <w:tcPr>
            <w:tcW w:type="dxa" w:w="2880"/>
          </w:tcPr>
          <w:p>
            <w:r>
              <w:t>Earnings, policy, liquidity</w:t>
            </w:r>
          </w:p>
        </w:tc>
      </w:tr>
      <w:tr>
        <w:tc>
          <w:tcPr>
            <w:tcW w:type="dxa" w:w="2880"/>
          </w:tcPr>
          <w:p>
            <w:r>
              <w:t>Sensex</w:t>
            </w:r>
          </w:p>
        </w:tc>
        <w:tc>
          <w:tcPr>
            <w:tcW w:type="dxa" w:w="2880"/>
          </w:tcPr>
          <w:p>
            <w:r>
              <w:t>+6% MoM (April 2025)</w:t>
            </w:r>
          </w:p>
        </w:tc>
        <w:tc>
          <w:tcPr>
            <w:tcW w:type="dxa" w:w="2880"/>
          </w:tcPr>
          <w:p>
            <w:r>
              <w:t>Domestic consumption, reforms</w:t>
            </w:r>
          </w:p>
        </w:tc>
      </w:tr>
      <w:tr>
        <w:tc>
          <w:tcPr>
            <w:tcW w:type="dxa" w:w="2880"/>
          </w:tcPr>
          <w:p>
            <w:r>
              <w:t>Nifty Bank</w:t>
            </w:r>
          </w:p>
        </w:tc>
        <w:tc>
          <w:tcPr>
            <w:tcW w:type="dxa" w:w="2880"/>
          </w:tcPr>
          <w:p>
            <w:r>
              <w:t>Positive bias</w:t>
            </w:r>
          </w:p>
        </w:tc>
        <w:tc>
          <w:tcPr>
            <w:tcW w:type="dxa" w:w="2880"/>
          </w:tcPr>
          <w:p>
            <w:r>
              <w:t>Credit growth, asset quality</w:t>
            </w:r>
          </w:p>
        </w:tc>
      </w:tr>
    </w:tbl>
    <w:p>
      <w:r/>
    </w:p>
    <w:p>
      <w:r/>
      <w:r>
        <w:t>This analytical overview provides a comprehensive, data-driven snapshot of the Indian stock market’s current condition and sectoral prospects for investors with a five-year horizon. The focus remains on sectors with structural growth drivers and prudent investment strategies to navigate volatility and capitalize on India’s long-term growth story.</w:t>
      </w:r>
      <w:r/>
    </w:p>
    <w:p>
      <w:pPr>
        <w:pStyle w:val="Heading2"/>
      </w:pPr>
      <w:r>
        <w:t>Sectoral Outlook: Where to Invest for 5 Years</w:t>
      </w:r>
      <w:r/>
    </w:p>
    <w:p>
      <w:pPr>
        <w:pStyle w:val="Heading3"/>
      </w:pPr>
      <w:r>
        <w:t>Capital Goods and Infrastructure: Riding the Capex Cycle</w:t>
      </w:r>
      <w:r/>
    </w:p>
    <w:p>
      <w:r/>
      <w:r>
        <w:t>India’s capital expenditure (capex) cycle is experiencing a multi-year revival, supported by both public and private sector investments. This trend is underpinned by government initiatives such as the National Infrastructure Pipeline (NIP), Production Linked Incentive (PLI) schemes, and continued focus on manufacturing and logistics. The capital goods sector, which includes companies engaged in the production of equipment, machinery, and construction materials, is expected to benefit from robust order inflows and increased demand for infrastructure development (</w:t>
      </w:r>
      <w:hyperlink r:id="rId18">
        <w:r>
          <w:rPr>
            <w:color w:val="0000EE"/>
            <w:u w:val="single"/>
          </w:rPr>
          <w:t>Livemint, 2024</w:t>
        </w:r>
      </w:hyperlink>
      <w:r>
        <w:t>).</w:t>
      </w:r>
      <w:r/>
    </w:p>
    <w:p>
      <w:pPr>
        <w:pStyle w:val="Heading4"/>
      </w:pPr>
      <w:r>
        <w:t>Key Drivers</w:t>
      </w:r>
      <w:r/>
      <w:r/>
    </w:p>
    <w:p>
      <w:pPr>
        <w:pStyle w:val="ListBullet"/>
        <w:spacing w:line="240" w:lineRule="auto"/>
        <w:ind w:left="720"/>
      </w:pPr>
      <w:r/>
      <w:r>
        <w:rPr>
          <w:b/>
        </w:rPr>
        <w:t>Government Spending</w:t>
      </w:r>
      <w:r>
        <w:t>: The central government’s allocation for infrastructure in the Union Budget 2024-25 reached ₹11.1 lakh crore, a 16% increase year-on-year (</w:t>
      </w:r>
      <w:hyperlink r:id="rId16">
        <w:r>
          <w:rPr>
            <w:color w:val="0000EE"/>
            <w:u w:val="single"/>
          </w:rPr>
          <w:t>Forbes Advisor, 2024</w:t>
        </w:r>
      </w:hyperlink>
      <w:r>
        <w:t>).</w:t>
      </w:r>
      <w:r/>
    </w:p>
    <w:p>
      <w:pPr>
        <w:pStyle w:val="ListBullet"/>
        <w:spacing w:line="240" w:lineRule="auto"/>
        <w:ind w:left="720"/>
      </w:pPr>
      <w:r/>
      <w:r>
        <w:rPr>
          <w:b/>
        </w:rPr>
        <w:t>Private Sector Participation</w:t>
      </w:r>
      <w:r>
        <w:t>: Private capex is rebounding, with sectors like cement, steel, and logistics expanding capacity.</w:t>
      </w:r>
      <w:r/>
    </w:p>
    <w:p>
      <w:pPr>
        <w:pStyle w:val="ListBullet"/>
        <w:spacing w:line="240" w:lineRule="auto"/>
        <w:ind w:left="720"/>
      </w:pPr>
      <w:r/>
      <w:r>
        <w:rPr>
          <w:b/>
        </w:rPr>
        <w:t>Urbanization and Housing</w:t>
      </w:r>
      <w:r>
        <w:t>: Urban infrastructure, affordable housing, and smart city initiatives are fueling demand for construction materials and engineering services.</w:t>
      </w:r>
      <w:r/>
      <w:r/>
    </w:p>
    <w:p>
      <w:pPr>
        <w:pStyle w:val="Heading4"/>
      </w:pPr>
      <w:r>
        <w:t>Sector Performance</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Index/Sector</w:t>
            </w:r>
          </w:p>
        </w:tc>
        <w:tc>
          <w:tcPr>
            <w:tcW w:type="dxa" w:w="2160"/>
          </w:tcPr>
          <w:p>
            <w:r>
              <w:rPr>
                <w:b/>
              </w:rPr>
              <w:t>2024 YTD Return</w:t>
            </w:r>
          </w:p>
        </w:tc>
        <w:tc>
          <w:tcPr>
            <w:tcW w:type="dxa" w:w="2160"/>
          </w:tcPr>
          <w:p>
            <w:r>
              <w:rPr>
                <w:b/>
              </w:rPr>
              <w:t>5-Year CAGR (Est.)</w:t>
            </w:r>
          </w:p>
        </w:tc>
        <w:tc>
          <w:tcPr>
            <w:tcW w:type="dxa" w:w="2160"/>
          </w:tcPr>
          <w:p>
            <w:r>
              <w:rPr>
                <w:b/>
              </w:rPr>
              <w:t>Key Companies</w:t>
            </w:r>
          </w:p>
        </w:tc>
      </w:tr>
      <w:tr>
        <w:tc>
          <w:tcPr>
            <w:tcW w:type="dxa" w:w="2160"/>
          </w:tcPr>
          <w:p>
            <w:r>
              <w:t>Nifty Infrastructure</w:t>
            </w:r>
          </w:p>
        </w:tc>
        <w:tc>
          <w:tcPr>
            <w:tcW w:type="dxa" w:w="2160"/>
          </w:tcPr>
          <w:p>
            <w:r>
              <w:t>18.2%</w:t>
            </w:r>
          </w:p>
        </w:tc>
        <w:tc>
          <w:tcPr>
            <w:tcW w:type="dxa" w:w="2160"/>
          </w:tcPr>
          <w:p>
            <w:r>
              <w:t>12-14%</w:t>
            </w:r>
          </w:p>
        </w:tc>
        <w:tc>
          <w:tcPr>
            <w:tcW w:type="dxa" w:w="2160"/>
          </w:tcPr>
          <w:p>
            <w:r>
              <w:t>L&amp;T, Ultratech Cement, NCC</w:t>
            </w:r>
          </w:p>
        </w:tc>
      </w:tr>
      <w:tr>
        <w:tc>
          <w:tcPr>
            <w:tcW w:type="dxa" w:w="2160"/>
          </w:tcPr>
          <w:p>
            <w:r>
              <w:t>Capital Goods</w:t>
            </w:r>
          </w:p>
        </w:tc>
        <w:tc>
          <w:tcPr>
            <w:tcW w:type="dxa" w:w="2160"/>
          </w:tcPr>
          <w:p>
            <w:r>
              <w:t>21.5%</w:t>
            </w:r>
          </w:p>
        </w:tc>
        <w:tc>
          <w:tcPr>
            <w:tcW w:type="dxa" w:w="2160"/>
          </w:tcPr>
          <w:p>
            <w:r>
              <w:t>13-15%</w:t>
            </w:r>
          </w:p>
        </w:tc>
        <w:tc>
          <w:tcPr>
            <w:tcW w:type="dxa" w:w="2160"/>
          </w:tcPr>
          <w:p>
            <w:r>
              <w:t>Siemens, ABB, Bharat Forge</w:t>
            </w:r>
          </w:p>
        </w:tc>
      </w:tr>
    </w:tbl>
    <w:p>
      <w:r/>
    </w:p>
    <w:p>
      <w:pPr>
        <w:pStyle w:val="Heading4"/>
      </w:pPr>
      <w:r>
        <w:t>Investment Implications</w:t>
      </w:r>
      <w:r/>
    </w:p>
    <w:p>
      <w:r/>
      <w:r>
        <w:t>Investors with a 5-year horizon can benefit from the secular growth in infrastructure and capital goods by considering diversified exposure through sectoral mutual funds or ETFs, or by selecting leading companies with strong order books and execution capabilities (</w:t>
      </w:r>
      <w:hyperlink r:id="rId19">
        <w:r>
          <w:rPr>
            <w:color w:val="0000EE"/>
            <w:u w:val="single"/>
          </w:rPr>
          <w:t>Appreciate, 2025</w:t>
        </w:r>
      </w:hyperlink>
      <w:r>
        <w:t>).</w:t>
      </w:r>
      <w:r/>
    </w:p>
    <w:p>
      <w:pPr>
        <w:pBdr>
          <w:bottom w:val="single" w:sz="6" w:space="1" w:color="auto"/>
        </w:pBdr>
      </w:pPr>
      <w:r/>
    </w:p>
    <w:p>
      <w:pPr>
        <w:pStyle w:val="Heading3"/>
      </w:pPr>
      <w:r>
        <w:t>Green Energy and Renewables: Harnessing the Sustainability Wave</w:t>
      </w:r>
      <w:r/>
    </w:p>
    <w:p>
      <w:r/>
      <w:r>
        <w:t>The renewable energy sector in India is set for exponential growth, driven by ambitious government targets, global ESG (Environmental, Social, and Governance) trends, and rising private investments. India aims to achieve 500 GW of non-fossil fuel capacity by 2030, with solar, wind, and green hydrogen leading the transition (</w:t>
      </w:r>
      <w:hyperlink r:id="rId20">
        <w:r>
          <w:rPr>
            <w:color w:val="0000EE"/>
            <w:u w:val="single"/>
          </w:rPr>
          <w:t>Invest India, 2025</w:t>
        </w:r>
      </w:hyperlink>
      <w:r>
        <w:t>).</w:t>
      </w:r>
      <w:r/>
    </w:p>
    <w:p>
      <w:pPr>
        <w:pStyle w:val="Heading4"/>
      </w:pPr>
      <w:r>
        <w:t>Key Drivers</w:t>
      </w:r>
      <w:r/>
      <w:r/>
    </w:p>
    <w:p>
      <w:pPr>
        <w:pStyle w:val="ListBullet"/>
        <w:spacing w:line="240" w:lineRule="auto"/>
        <w:ind w:left="720"/>
      </w:pPr>
      <w:r/>
      <w:r>
        <w:rPr>
          <w:b/>
        </w:rPr>
        <w:t>Policy Support</w:t>
      </w:r>
      <w:r>
        <w:t>: PLI schemes for solar modules and battery storage, and incentives for green hydrogen projects.</w:t>
      </w:r>
      <w:r/>
    </w:p>
    <w:p>
      <w:pPr>
        <w:pStyle w:val="ListBullet"/>
        <w:spacing w:line="240" w:lineRule="auto"/>
        <w:ind w:left="720"/>
      </w:pPr>
      <w:r/>
      <w:r>
        <w:rPr>
          <w:b/>
        </w:rPr>
        <w:t>Corporate Initiatives</w:t>
      </w:r>
      <w:r>
        <w:t>: Major industrial groups are investing heavily in renewables and decarbonization.</w:t>
      </w:r>
      <w:r/>
    </w:p>
    <w:p>
      <w:pPr>
        <w:pStyle w:val="ListBullet"/>
        <w:spacing w:line="240" w:lineRule="auto"/>
        <w:ind w:left="720"/>
      </w:pPr>
      <w:r/>
      <w:r>
        <w:rPr>
          <w:b/>
        </w:rPr>
        <w:t>Global Capital Flows</w:t>
      </w:r>
      <w:r>
        <w:t>: Increased FII and FDI inflows into green energy projects.</w:t>
      </w:r>
      <w:r/>
      <w:r/>
    </w:p>
    <w:p>
      <w:pPr>
        <w:pStyle w:val="Heading4"/>
      </w:pPr>
      <w:r>
        <w:t>Sector Performance</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Segment</w:t>
            </w:r>
          </w:p>
        </w:tc>
        <w:tc>
          <w:tcPr>
            <w:tcW w:type="dxa" w:w="2160"/>
          </w:tcPr>
          <w:p>
            <w:r>
              <w:rPr>
                <w:b/>
              </w:rPr>
              <w:t>2024 YTD Return</w:t>
            </w:r>
          </w:p>
        </w:tc>
        <w:tc>
          <w:tcPr>
            <w:tcW w:type="dxa" w:w="2160"/>
          </w:tcPr>
          <w:p>
            <w:r>
              <w:rPr>
                <w:b/>
              </w:rPr>
              <w:t>5-Year CAGR (Est.)</w:t>
            </w:r>
          </w:p>
        </w:tc>
        <w:tc>
          <w:tcPr>
            <w:tcW w:type="dxa" w:w="2160"/>
          </w:tcPr>
          <w:p>
            <w:r>
              <w:rPr>
                <w:b/>
              </w:rPr>
              <w:t>Leading Companies</w:t>
            </w:r>
          </w:p>
        </w:tc>
      </w:tr>
      <w:tr>
        <w:tc>
          <w:tcPr>
            <w:tcW w:type="dxa" w:w="2160"/>
          </w:tcPr>
          <w:p>
            <w:r>
              <w:t>Renewable Energy</w:t>
            </w:r>
          </w:p>
        </w:tc>
        <w:tc>
          <w:tcPr>
            <w:tcW w:type="dxa" w:w="2160"/>
          </w:tcPr>
          <w:p>
            <w:r>
              <w:t>25.4%</w:t>
            </w:r>
          </w:p>
        </w:tc>
        <w:tc>
          <w:tcPr>
            <w:tcW w:type="dxa" w:w="2160"/>
          </w:tcPr>
          <w:p>
            <w:r>
              <w:t>18-25%</w:t>
            </w:r>
          </w:p>
        </w:tc>
        <w:tc>
          <w:tcPr>
            <w:tcW w:type="dxa" w:w="2160"/>
          </w:tcPr>
          <w:p>
            <w:r>
              <w:t>Tata Power, Adani Green, NTPC</w:t>
            </w:r>
          </w:p>
        </w:tc>
      </w:tr>
      <w:tr>
        <w:tc>
          <w:tcPr>
            <w:tcW w:type="dxa" w:w="2160"/>
          </w:tcPr>
          <w:p>
            <w:r>
              <w:t>EV &amp; Battery Value Chain</w:t>
            </w:r>
          </w:p>
        </w:tc>
        <w:tc>
          <w:tcPr>
            <w:tcW w:type="dxa" w:w="2160"/>
          </w:tcPr>
          <w:p>
            <w:r>
              <w:t>28.7%</w:t>
            </w:r>
          </w:p>
        </w:tc>
        <w:tc>
          <w:tcPr>
            <w:tcW w:type="dxa" w:w="2160"/>
          </w:tcPr>
          <w:p>
            <w:r>
              <w:t>20-28%</w:t>
            </w:r>
          </w:p>
        </w:tc>
        <w:tc>
          <w:tcPr>
            <w:tcW w:type="dxa" w:w="2160"/>
          </w:tcPr>
          <w:p>
            <w:r>
              <w:t>Exide, Amara Raja, Hero MotoCorp</w:t>
            </w:r>
          </w:p>
        </w:tc>
      </w:tr>
    </w:tbl>
    <w:p>
      <w:r/>
    </w:p>
    <w:p>
      <w:pPr>
        <w:pStyle w:val="Heading4"/>
      </w:pPr>
      <w:r>
        <w:t>Investment Implications</w:t>
      </w:r>
      <w:r/>
    </w:p>
    <w:p>
      <w:r/>
      <w:r>
        <w:t>Long-term investors can consider companies involved in solar, wind, battery storage, and electric vehicle (EV) ecosystems. The sector’s multi-bagger potential is supported by both domestic and international demand for clean energy solutions (</w:t>
      </w:r>
      <w:hyperlink r:id="rId19">
        <w:r>
          <w:rPr>
            <w:color w:val="0000EE"/>
            <w:u w:val="single"/>
          </w:rPr>
          <w:t>Appreciate, 2025</w:t>
        </w:r>
      </w:hyperlink>
      <w:r>
        <w:t>).</w:t>
      </w:r>
      <w:r/>
    </w:p>
    <w:p>
      <w:pPr>
        <w:pBdr>
          <w:bottom w:val="single" w:sz="6" w:space="1" w:color="auto"/>
        </w:pBdr>
      </w:pPr>
      <w:r/>
    </w:p>
    <w:p>
      <w:pPr>
        <w:pStyle w:val="Heading3"/>
      </w:pPr>
      <w:r>
        <w:t>Healthcare and Pharmaceuticals: Leveraging Innovation and Demographics</w:t>
      </w:r>
      <w:r/>
    </w:p>
    <w:p>
      <w:r/>
      <w:r>
        <w:t>India’s healthcare and pharmaceutical sectors are poised for sustained growth, driven by rising healthcare awareness, increasing insurance penetration, and strong export demand for generic drugs and specialty formulations. The sector is also benefiting from digital health initiatives and medical tourism (</w:t>
      </w:r>
      <w:hyperlink r:id="rId21">
        <w:r>
          <w:rPr>
            <w:color w:val="0000EE"/>
            <w:u w:val="single"/>
          </w:rPr>
          <w:t>StockDaddy, 2025</w:t>
        </w:r>
      </w:hyperlink>
      <w:r>
        <w:t>).</w:t>
      </w:r>
      <w:r/>
    </w:p>
    <w:p>
      <w:pPr>
        <w:pStyle w:val="Heading4"/>
      </w:pPr>
      <w:r>
        <w:t>Key Drivers</w:t>
      </w:r>
      <w:r/>
      <w:r/>
    </w:p>
    <w:p>
      <w:pPr>
        <w:pStyle w:val="ListBullet"/>
        <w:spacing w:line="240" w:lineRule="auto"/>
        <w:ind w:left="720"/>
      </w:pPr>
      <w:r/>
      <w:r>
        <w:rPr>
          <w:b/>
        </w:rPr>
        <w:t>Demographic Trends</w:t>
      </w:r>
      <w:r>
        <w:t>: An aging population and growing middle class are increasing demand for healthcare services and products.</w:t>
      </w:r>
      <w:r/>
    </w:p>
    <w:p>
      <w:pPr>
        <w:pStyle w:val="ListBullet"/>
        <w:spacing w:line="240" w:lineRule="auto"/>
        <w:ind w:left="720"/>
      </w:pPr>
      <w:r/>
      <w:r>
        <w:rPr>
          <w:b/>
        </w:rPr>
        <w:t>Export Growth</w:t>
      </w:r>
      <w:r>
        <w:t>: India remains a global leader in generic pharmaceuticals, with exports reaching $25 billion in FY24.</w:t>
      </w:r>
      <w:r/>
    </w:p>
    <w:p>
      <w:pPr>
        <w:pStyle w:val="ListBullet"/>
        <w:spacing w:line="240" w:lineRule="auto"/>
        <w:ind w:left="720"/>
      </w:pPr>
      <w:r/>
      <w:r>
        <w:rPr>
          <w:b/>
        </w:rPr>
        <w:t>Government Initiatives</w:t>
      </w:r>
      <w:r>
        <w:t>: Increased healthcare spending, Ayushman Bharat, and incentives for R&amp;D and manufacturing.</w:t>
      </w:r>
      <w:r/>
      <w:r/>
    </w:p>
    <w:p>
      <w:pPr>
        <w:pStyle w:val="Heading4"/>
      </w:pPr>
      <w:r>
        <w:t>Sector Performance</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Segment</w:t>
            </w:r>
          </w:p>
        </w:tc>
        <w:tc>
          <w:tcPr>
            <w:tcW w:type="dxa" w:w="2160"/>
          </w:tcPr>
          <w:p>
            <w:r>
              <w:rPr>
                <w:b/>
              </w:rPr>
              <w:t>2024 YTD Return</w:t>
            </w:r>
          </w:p>
        </w:tc>
        <w:tc>
          <w:tcPr>
            <w:tcW w:type="dxa" w:w="2160"/>
          </w:tcPr>
          <w:p>
            <w:r>
              <w:rPr>
                <w:b/>
              </w:rPr>
              <w:t>4-Year CAGR (2020-24)</w:t>
            </w:r>
          </w:p>
        </w:tc>
        <w:tc>
          <w:tcPr>
            <w:tcW w:type="dxa" w:w="2160"/>
          </w:tcPr>
          <w:p>
            <w:r>
              <w:rPr>
                <w:b/>
              </w:rPr>
              <w:t>Key Players</w:t>
            </w:r>
          </w:p>
        </w:tc>
      </w:tr>
      <w:tr>
        <w:tc>
          <w:tcPr>
            <w:tcW w:type="dxa" w:w="2160"/>
          </w:tcPr>
          <w:p>
            <w:r>
              <w:t>Healthcare</w:t>
            </w:r>
          </w:p>
        </w:tc>
        <w:tc>
          <w:tcPr>
            <w:tcW w:type="dxa" w:w="2160"/>
          </w:tcPr>
          <w:p>
            <w:r>
              <w:t>19.8%</w:t>
            </w:r>
          </w:p>
        </w:tc>
        <w:tc>
          <w:tcPr>
            <w:tcW w:type="dxa" w:w="2160"/>
          </w:tcPr>
          <w:p>
            <w:r>
              <w:t>26%</w:t>
            </w:r>
          </w:p>
        </w:tc>
        <w:tc>
          <w:tcPr>
            <w:tcW w:type="dxa" w:w="2160"/>
          </w:tcPr>
          <w:p>
            <w:r>
              <w:t>Apollo Hospitals, Max Healthcare</w:t>
            </w:r>
          </w:p>
        </w:tc>
      </w:tr>
      <w:tr>
        <w:tc>
          <w:tcPr>
            <w:tcW w:type="dxa" w:w="2160"/>
          </w:tcPr>
          <w:p>
            <w:r>
              <w:t>Pharmaceuticals</w:t>
            </w:r>
          </w:p>
        </w:tc>
        <w:tc>
          <w:tcPr>
            <w:tcW w:type="dxa" w:w="2160"/>
          </w:tcPr>
          <w:p>
            <w:r>
              <w:t>14.5%</w:t>
            </w:r>
          </w:p>
        </w:tc>
        <w:tc>
          <w:tcPr>
            <w:tcW w:type="dxa" w:w="2160"/>
          </w:tcPr>
          <w:p>
            <w:r>
              <w:t>12-18%</w:t>
            </w:r>
          </w:p>
        </w:tc>
        <w:tc>
          <w:tcPr>
            <w:tcW w:type="dxa" w:w="2160"/>
          </w:tcPr>
          <w:p>
            <w:r>
              <w:t>Sun Pharma, Cipla, Dr. Reddy’s</w:t>
            </w:r>
          </w:p>
        </w:tc>
      </w:tr>
    </w:tbl>
    <w:p>
      <w:r/>
    </w:p>
    <w:p>
      <w:pPr>
        <w:pStyle w:val="Heading4"/>
      </w:pPr>
      <w:r>
        <w:t>Investment Implications</w:t>
      </w:r>
      <w:r/>
    </w:p>
    <w:p>
      <w:r/>
      <w:r>
        <w:t>A diversified approach across hospital chains, insurance providers, and pharma companies can help capture the sector’s growth. Investors should also watch for companies leading in biosimilars, specialty drugs, and digital health platforms (</w:t>
      </w:r>
      <w:hyperlink r:id="rId22">
        <w:r>
          <w:rPr>
            <w:color w:val="0000EE"/>
            <w:u w:val="single"/>
          </w:rPr>
          <w:t>Grip Invest, 2025</w:t>
        </w:r>
      </w:hyperlink>
      <w:r>
        <w:t>).</w:t>
      </w:r>
      <w:r/>
    </w:p>
    <w:p>
      <w:pPr>
        <w:pBdr>
          <w:bottom w:val="single" w:sz="6" w:space="1" w:color="auto"/>
        </w:pBdr>
      </w:pPr>
      <w:r/>
    </w:p>
    <w:p>
      <w:pPr>
        <w:pStyle w:val="Heading3"/>
      </w:pPr>
      <w:r>
        <w:t>Financial Services and Private Banking: Benefiting from Credit Growth</w:t>
      </w:r>
      <w:r/>
    </w:p>
    <w:p>
      <w:r/>
      <w:r>
        <w:t>The financial sector, particularly private banks and non-banking financial companies (NBFCs), is expected to deliver stable returns over the next five years. Factors such as rising credit demand, digitalization, and improving asset quality are driving sectoral optimism (</w:t>
      </w:r>
      <w:hyperlink r:id="rId16">
        <w:r>
          <w:rPr>
            <w:color w:val="0000EE"/>
            <w:u w:val="single"/>
          </w:rPr>
          <w:t>Forbes Advisor, 2024</w:t>
        </w:r>
      </w:hyperlink>
      <w:r>
        <w:t>).</w:t>
      </w:r>
      <w:r/>
    </w:p>
    <w:p>
      <w:pPr>
        <w:pStyle w:val="Heading4"/>
      </w:pPr>
      <w:r>
        <w:t>Key Drivers</w:t>
      </w:r>
      <w:r/>
      <w:r/>
    </w:p>
    <w:p>
      <w:pPr>
        <w:pStyle w:val="ListBullet"/>
        <w:spacing w:line="240" w:lineRule="auto"/>
        <w:ind w:left="720"/>
      </w:pPr>
      <w:r/>
      <w:r>
        <w:rPr>
          <w:b/>
        </w:rPr>
        <w:t>Credit Expansion</w:t>
      </w:r>
      <w:r>
        <w:t>: Retail and MSME credit growth remains robust, supported by economic recovery and digital lending platforms.</w:t>
      </w:r>
      <w:r/>
    </w:p>
    <w:p>
      <w:pPr>
        <w:pStyle w:val="ListBullet"/>
        <w:spacing w:line="240" w:lineRule="auto"/>
        <w:ind w:left="720"/>
      </w:pPr>
      <w:r/>
      <w:r>
        <w:rPr>
          <w:b/>
        </w:rPr>
        <w:t>Asset Quality Improvement</w:t>
      </w:r>
      <w:r>
        <w:t>: NPAs have declined, and provisioning levels are healthy.</w:t>
      </w:r>
      <w:r/>
    </w:p>
    <w:p>
      <w:pPr>
        <w:pStyle w:val="ListBullet"/>
        <w:spacing w:line="240" w:lineRule="auto"/>
        <w:ind w:left="720"/>
      </w:pPr>
      <w:r/>
      <w:r>
        <w:rPr>
          <w:b/>
        </w:rPr>
        <w:t>Financial Inclusion</w:t>
      </w:r>
      <w:r>
        <w:t>: Government schemes and fintech innovations are expanding the customer base.</w:t>
      </w:r>
      <w:r/>
      <w:r/>
    </w:p>
    <w:p>
      <w:pPr>
        <w:pStyle w:val="Heading4"/>
      </w:pPr>
      <w:r>
        <w:t>Sector Performance</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Segment</w:t>
            </w:r>
          </w:p>
        </w:tc>
        <w:tc>
          <w:tcPr>
            <w:tcW w:type="dxa" w:w="2160"/>
          </w:tcPr>
          <w:p>
            <w:r>
              <w:rPr>
                <w:b/>
              </w:rPr>
              <w:t>2024 YTD Return</w:t>
            </w:r>
          </w:p>
        </w:tc>
        <w:tc>
          <w:tcPr>
            <w:tcW w:type="dxa" w:w="2160"/>
          </w:tcPr>
          <w:p>
            <w:r>
              <w:rPr>
                <w:b/>
              </w:rPr>
              <w:t>5-Year CAGR (Est.)</w:t>
            </w:r>
          </w:p>
        </w:tc>
        <w:tc>
          <w:tcPr>
            <w:tcW w:type="dxa" w:w="2160"/>
          </w:tcPr>
          <w:p>
            <w:r>
              <w:rPr>
                <w:b/>
              </w:rPr>
              <w:t>Major Players</w:t>
            </w:r>
          </w:p>
        </w:tc>
      </w:tr>
      <w:tr>
        <w:tc>
          <w:tcPr>
            <w:tcW w:type="dxa" w:w="2160"/>
          </w:tcPr>
          <w:p>
            <w:r>
              <w:t>Private Banks</w:t>
            </w:r>
          </w:p>
        </w:tc>
        <w:tc>
          <w:tcPr>
            <w:tcW w:type="dxa" w:w="2160"/>
          </w:tcPr>
          <w:p>
            <w:r>
              <w:t>15.6%</w:t>
            </w:r>
          </w:p>
        </w:tc>
        <w:tc>
          <w:tcPr>
            <w:tcW w:type="dxa" w:w="2160"/>
          </w:tcPr>
          <w:p>
            <w:r>
              <w:t>11-13%</w:t>
            </w:r>
          </w:p>
        </w:tc>
        <w:tc>
          <w:tcPr>
            <w:tcW w:type="dxa" w:w="2160"/>
          </w:tcPr>
          <w:p>
            <w:r>
              <w:t>HDFC Bank, ICICI Bank, Kotak Bank</w:t>
            </w:r>
          </w:p>
        </w:tc>
      </w:tr>
      <w:tr>
        <w:tc>
          <w:tcPr>
            <w:tcW w:type="dxa" w:w="2160"/>
          </w:tcPr>
          <w:p>
            <w:r>
              <w:t>NBFCs</w:t>
            </w:r>
          </w:p>
        </w:tc>
        <w:tc>
          <w:tcPr>
            <w:tcW w:type="dxa" w:w="2160"/>
          </w:tcPr>
          <w:p>
            <w:r>
              <w:t>13.2%</w:t>
            </w:r>
          </w:p>
        </w:tc>
        <w:tc>
          <w:tcPr>
            <w:tcW w:type="dxa" w:w="2160"/>
          </w:tcPr>
          <w:p>
            <w:r>
              <w:t>10-12%</w:t>
            </w:r>
          </w:p>
        </w:tc>
        <w:tc>
          <w:tcPr>
            <w:tcW w:type="dxa" w:w="2160"/>
          </w:tcPr>
          <w:p>
            <w:r>
              <w:t>Bajaj Finance, Muthoot Finance</w:t>
            </w:r>
          </w:p>
        </w:tc>
      </w:tr>
    </w:tbl>
    <w:p>
      <w:r/>
    </w:p>
    <w:p>
      <w:pPr>
        <w:pStyle w:val="Heading4"/>
      </w:pPr>
      <w:r>
        <w:t>Investment Implications</w:t>
      </w:r>
      <w:r/>
    </w:p>
    <w:p>
      <w:r/>
      <w:r>
        <w:t>Investors should focus on well-capitalized private banks and leading NBFCs with strong digital capabilities and diversified loan portfolios. The sector’s resilience to global shocks and its role in funding India’s growth story make it a core portfolio holding (</w:t>
      </w:r>
      <w:hyperlink r:id="rId18">
        <w:r>
          <w:rPr>
            <w:color w:val="0000EE"/>
            <w:u w:val="single"/>
          </w:rPr>
          <w:t>Livemint, 2024</w:t>
        </w:r>
      </w:hyperlink>
      <w:r>
        <w:t>).</w:t>
      </w:r>
      <w:r/>
    </w:p>
    <w:p>
      <w:pPr>
        <w:pBdr>
          <w:bottom w:val="single" w:sz="6" w:space="1" w:color="auto"/>
        </w:pBdr>
      </w:pPr>
      <w:r/>
    </w:p>
    <w:p>
      <w:pPr>
        <w:pStyle w:val="Heading3"/>
      </w:pPr>
      <w:r>
        <w:t>Technology and Digital Transformation: Capitalizing on the Next Wave</w:t>
      </w:r>
      <w:r/>
    </w:p>
    <w:p>
      <w:r/>
      <w:r>
        <w:t>India’s technology sector, encompassing IT services, software, and digital commerce, remains a structural growth story. While the sector experienced some volatility in 2024 due to global macroeconomic headwinds, the long-term outlook is buoyed by digital adoption, 5G rollout, and the rise of artificial intelligence (AI) and cloud computing (</w:t>
      </w:r>
      <w:hyperlink r:id="rId19">
        <w:r>
          <w:rPr>
            <w:color w:val="0000EE"/>
            <w:u w:val="single"/>
          </w:rPr>
          <w:t>Appreciate, 2025</w:t>
        </w:r>
      </w:hyperlink>
      <w:r>
        <w:t>).</w:t>
      </w:r>
      <w:r/>
    </w:p>
    <w:p>
      <w:pPr>
        <w:pStyle w:val="Heading4"/>
      </w:pPr>
      <w:r>
        <w:t>Key Drivers</w:t>
      </w:r>
      <w:r/>
      <w:r/>
    </w:p>
    <w:p>
      <w:pPr>
        <w:pStyle w:val="ListBullet"/>
        <w:spacing w:line="240" w:lineRule="auto"/>
        <w:ind w:left="720"/>
      </w:pPr>
      <w:r/>
      <w:r>
        <w:rPr>
          <w:b/>
        </w:rPr>
        <w:t>Digitalization</w:t>
      </w:r>
      <w:r>
        <w:t>: Accelerated adoption of cloud, AI, and digital platforms across industries.</w:t>
      </w:r>
      <w:r/>
    </w:p>
    <w:p>
      <w:pPr>
        <w:pStyle w:val="ListBullet"/>
        <w:spacing w:line="240" w:lineRule="auto"/>
        <w:ind w:left="720"/>
      </w:pPr>
      <w:r/>
      <w:r>
        <w:rPr>
          <w:b/>
        </w:rPr>
        <w:t>Global Outsourcing</w:t>
      </w:r>
      <w:r>
        <w:t>: Continued demand for Indian IT services from U.S. and European clients.</w:t>
      </w:r>
      <w:r/>
    </w:p>
    <w:p>
      <w:pPr>
        <w:pStyle w:val="ListBullet"/>
        <w:spacing w:line="240" w:lineRule="auto"/>
        <w:ind w:left="720"/>
      </w:pPr>
      <w:r/>
      <w:r>
        <w:rPr>
          <w:b/>
        </w:rPr>
        <w:t>Startup Ecosystem</w:t>
      </w:r>
      <w:r>
        <w:t>: Growth in fintech, e-commerce, and SaaS companies.</w:t>
      </w:r>
      <w:r/>
      <w:r/>
    </w:p>
    <w:p>
      <w:pPr>
        <w:pStyle w:val="Heading4"/>
      </w:pPr>
      <w:r>
        <w:t>Sector Performance</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Segment</w:t>
            </w:r>
          </w:p>
        </w:tc>
        <w:tc>
          <w:tcPr>
            <w:tcW w:type="dxa" w:w="2160"/>
          </w:tcPr>
          <w:p>
            <w:r>
              <w:rPr>
                <w:b/>
              </w:rPr>
              <w:t>2024 YTD Return</w:t>
            </w:r>
          </w:p>
        </w:tc>
        <w:tc>
          <w:tcPr>
            <w:tcW w:type="dxa" w:w="2160"/>
          </w:tcPr>
          <w:p>
            <w:r>
              <w:rPr>
                <w:b/>
              </w:rPr>
              <w:t>5-Year CAGR (Est.)</w:t>
            </w:r>
          </w:p>
        </w:tc>
        <w:tc>
          <w:tcPr>
            <w:tcW w:type="dxa" w:w="2160"/>
          </w:tcPr>
          <w:p>
            <w:r>
              <w:rPr>
                <w:b/>
              </w:rPr>
              <w:t>Leading Companies</w:t>
            </w:r>
          </w:p>
        </w:tc>
      </w:tr>
      <w:tr>
        <w:tc>
          <w:tcPr>
            <w:tcW w:type="dxa" w:w="2160"/>
          </w:tcPr>
          <w:p>
            <w:r>
              <w:t>IT &amp; Software</w:t>
            </w:r>
          </w:p>
        </w:tc>
        <w:tc>
          <w:tcPr>
            <w:tcW w:type="dxa" w:w="2160"/>
          </w:tcPr>
          <w:p>
            <w:r>
              <w:t>10.2%</w:t>
            </w:r>
          </w:p>
        </w:tc>
        <w:tc>
          <w:tcPr>
            <w:tcW w:type="dxa" w:w="2160"/>
          </w:tcPr>
          <w:p>
            <w:r>
              <w:t>15-20%</w:t>
            </w:r>
          </w:p>
        </w:tc>
        <w:tc>
          <w:tcPr>
            <w:tcW w:type="dxa" w:w="2160"/>
          </w:tcPr>
          <w:p>
            <w:r>
              <w:t>Infosys, TCS, HCL Tech</w:t>
            </w:r>
          </w:p>
        </w:tc>
      </w:tr>
      <w:tr>
        <w:tc>
          <w:tcPr>
            <w:tcW w:type="dxa" w:w="2160"/>
          </w:tcPr>
          <w:p>
            <w:r>
              <w:t>Digital Commerce</w:t>
            </w:r>
          </w:p>
        </w:tc>
        <w:tc>
          <w:tcPr>
            <w:tcW w:type="dxa" w:w="2160"/>
          </w:tcPr>
          <w:p>
            <w:r>
              <w:t>18.5%</w:t>
            </w:r>
          </w:p>
        </w:tc>
        <w:tc>
          <w:tcPr>
            <w:tcW w:type="dxa" w:w="2160"/>
          </w:tcPr>
          <w:p>
            <w:r>
              <w:t>20-25%</w:t>
            </w:r>
          </w:p>
        </w:tc>
        <w:tc>
          <w:tcPr>
            <w:tcW w:type="dxa" w:w="2160"/>
          </w:tcPr>
          <w:p>
            <w:r>
              <w:t>Zomato, Nykaa, PolicyBazaar</w:t>
            </w:r>
          </w:p>
        </w:tc>
      </w:tr>
    </w:tbl>
    <w:p>
      <w:r/>
    </w:p>
    <w:p>
      <w:pPr>
        <w:pStyle w:val="Heading4"/>
      </w:pPr>
      <w:r>
        <w:t>Investment Implications</w:t>
      </w:r>
      <w:r/>
    </w:p>
    <w:p>
      <w:r/>
      <w:r>
        <w:t>Long-term investors should look beyond short-term volatility and focus on companies with strong digital capabilities, global delivery models, and exposure to high-growth segments like AI, cloud, and cybersecurity. The sector’s ability to adapt to changing technology trends ensures its relevance over the next five years (</w:t>
      </w:r>
      <w:hyperlink r:id="rId23">
        <w:r>
          <w:rPr>
            <w:color w:val="0000EE"/>
            <w:u w:val="single"/>
          </w:rPr>
          <w:t>MithilTech, 2024</w:t>
        </w:r>
      </w:hyperlink>
      <w:r>
        <w:t>).</w:t>
      </w:r>
      <w:r/>
    </w:p>
    <w:p>
      <w:pPr>
        <w:pBdr>
          <w:bottom w:val="single" w:sz="6" w:space="1" w:color="auto"/>
        </w:pBdr>
      </w:pPr>
      <w:r/>
    </w:p>
    <w:p>
      <w:pPr>
        <w:pStyle w:val="Heading3"/>
      </w:pPr>
      <w:r>
        <w:t>Comparative Sector Growth Prospects (2025–2030)</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Sector</w:t>
            </w:r>
          </w:p>
        </w:tc>
        <w:tc>
          <w:tcPr>
            <w:tcW w:type="dxa" w:w="2160"/>
          </w:tcPr>
          <w:p>
            <w:r>
              <w:rPr>
                <w:b/>
              </w:rPr>
              <w:t>2024 YTD Return</w:t>
            </w:r>
          </w:p>
        </w:tc>
        <w:tc>
          <w:tcPr>
            <w:tcW w:type="dxa" w:w="2160"/>
          </w:tcPr>
          <w:p>
            <w:r>
              <w:rPr>
                <w:b/>
              </w:rPr>
              <w:t>5-Year CAGR (Est.)</w:t>
            </w:r>
          </w:p>
        </w:tc>
        <w:tc>
          <w:tcPr>
            <w:tcW w:type="dxa" w:w="2160"/>
          </w:tcPr>
          <w:p>
            <w:r>
              <w:rPr>
                <w:b/>
              </w:rPr>
              <w:t>Investment Rationale</w:t>
            </w:r>
          </w:p>
        </w:tc>
      </w:tr>
      <w:tr>
        <w:tc>
          <w:tcPr>
            <w:tcW w:type="dxa" w:w="2160"/>
          </w:tcPr>
          <w:p>
            <w:r>
              <w:t>Capital Goods/Infra</w:t>
            </w:r>
          </w:p>
        </w:tc>
        <w:tc>
          <w:tcPr>
            <w:tcW w:type="dxa" w:w="2160"/>
          </w:tcPr>
          <w:p>
            <w:r>
              <w:t>18–22%</w:t>
            </w:r>
          </w:p>
        </w:tc>
        <w:tc>
          <w:tcPr>
            <w:tcW w:type="dxa" w:w="2160"/>
          </w:tcPr>
          <w:p>
            <w:r>
              <w:t>12–15%</w:t>
            </w:r>
          </w:p>
        </w:tc>
        <w:tc>
          <w:tcPr>
            <w:tcW w:type="dxa" w:w="2160"/>
          </w:tcPr>
          <w:p>
            <w:r>
              <w:t>Capex revival, govt. spending, urbanization</w:t>
            </w:r>
          </w:p>
        </w:tc>
      </w:tr>
      <w:tr>
        <w:tc>
          <w:tcPr>
            <w:tcW w:type="dxa" w:w="2160"/>
          </w:tcPr>
          <w:p>
            <w:r>
              <w:t>Renewable Energy</w:t>
            </w:r>
          </w:p>
        </w:tc>
        <w:tc>
          <w:tcPr>
            <w:tcW w:type="dxa" w:w="2160"/>
          </w:tcPr>
          <w:p>
            <w:r>
              <w:t>25–29%</w:t>
            </w:r>
          </w:p>
        </w:tc>
        <w:tc>
          <w:tcPr>
            <w:tcW w:type="dxa" w:w="2160"/>
          </w:tcPr>
          <w:p>
            <w:r>
              <w:t>18–25%</w:t>
            </w:r>
          </w:p>
        </w:tc>
        <w:tc>
          <w:tcPr>
            <w:tcW w:type="dxa" w:w="2160"/>
          </w:tcPr>
          <w:p>
            <w:r>
              <w:t>Policy push, global ESG, private investment</w:t>
            </w:r>
          </w:p>
        </w:tc>
      </w:tr>
      <w:tr>
        <w:tc>
          <w:tcPr>
            <w:tcW w:type="dxa" w:w="2160"/>
          </w:tcPr>
          <w:p>
            <w:r>
              <w:t>Healthcare/Pharma</w:t>
            </w:r>
          </w:p>
        </w:tc>
        <w:tc>
          <w:tcPr>
            <w:tcW w:type="dxa" w:w="2160"/>
          </w:tcPr>
          <w:p>
            <w:r>
              <w:t>15–20%</w:t>
            </w:r>
          </w:p>
        </w:tc>
        <w:tc>
          <w:tcPr>
            <w:tcW w:type="dxa" w:w="2160"/>
          </w:tcPr>
          <w:p>
            <w:r>
              <w:t>12–18%</w:t>
            </w:r>
          </w:p>
        </w:tc>
        <w:tc>
          <w:tcPr>
            <w:tcW w:type="dxa" w:w="2160"/>
          </w:tcPr>
          <w:p>
            <w:r>
              <w:t>Demographics, exports, digital health</w:t>
            </w:r>
          </w:p>
        </w:tc>
      </w:tr>
      <w:tr>
        <w:tc>
          <w:tcPr>
            <w:tcW w:type="dxa" w:w="2160"/>
          </w:tcPr>
          <w:p>
            <w:r>
              <w:t>Financial Services</w:t>
            </w:r>
          </w:p>
        </w:tc>
        <w:tc>
          <w:tcPr>
            <w:tcW w:type="dxa" w:w="2160"/>
          </w:tcPr>
          <w:p>
            <w:r>
              <w:t>13–16%</w:t>
            </w:r>
          </w:p>
        </w:tc>
        <w:tc>
          <w:tcPr>
            <w:tcW w:type="dxa" w:w="2160"/>
          </w:tcPr>
          <w:p>
            <w:r>
              <w:t>10–13%</w:t>
            </w:r>
          </w:p>
        </w:tc>
        <w:tc>
          <w:tcPr>
            <w:tcW w:type="dxa" w:w="2160"/>
          </w:tcPr>
          <w:p>
            <w:r>
              <w:t>Credit growth, digitalization, asset quality</w:t>
            </w:r>
          </w:p>
        </w:tc>
      </w:tr>
      <w:tr>
        <w:tc>
          <w:tcPr>
            <w:tcW w:type="dxa" w:w="2160"/>
          </w:tcPr>
          <w:p>
            <w:r>
              <w:t>Technology/Digital</w:t>
            </w:r>
          </w:p>
        </w:tc>
        <w:tc>
          <w:tcPr>
            <w:tcW w:type="dxa" w:w="2160"/>
          </w:tcPr>
          <w:p>
            <w:r>
              <w:t>10–19%</w:t>
            </w:r>
          </w:p>
        </w:tc>
        <w:tc>
          <w:tcPr>
            <w:tcW w:type="dxa" w:w="2160"/>
          </w:tcPr>
          <w:p>
            <w:r>
              <w:t>15–20%</w:t>
            </w:r>
          </w:p>
        </w:tc>
        <w:tc>
          <w:tcPr>
            <w:tcW w:type="dxa" w:w="2160"/>
          </w:tcPr>
          <w:p>
            <w:r>
              <w:t>5G, AI, global outsourcing, digital commerce</w:t>
            </w:r>
          </w:p>
        </w:tc>
      </w:tr>
    </w:tbl>
    <w:p>
      <w:r/>
    </w:p>
    <w:p>
      <w:r/>
      <w:r>
        <w:rPr>
          <w:i/>
        </w:rPr>
        <w:t xml:space="preserve">Data compiled from multiple sources including </w:t>
      </w:r>
      <w:hyperlink r:id="rId18">
        <w:r>
          <w:rPr>
            <w:color w:val="0000EE"/>
            <w:u w:val="single"/>
          </w:rPr>
          <w:t>Livemint</w:t>
        </w:r>
      </w:hyperlink>
      <w:r>
        <w:rPr>
          <w:i/>
        </w:rPr>
        <w:t xml:space="preserve">, </w:t>
      </w:r>
      <w:hyperlink r:id="rId16">
        <w:r>
          <w:rPr>
            <w:color w:val="0000EE"/>
            <w:u w:val="single"/>
          </w:rPr>
          <w:t>Forbes Advisor</w:t>
        </w:r>
      </w:hyperlink>
      <w:r>
        <w:rPr>
          <w:i/>
        </w:rPr>
        <w:t xml:space="preserve">, </w:t>
      </w:r>
      <w:hyperlink r:id="rId19">
        <w:r>
          <w:rPr>
            <w:color w:val="0000EE"/>
            <w:u w:val="single"/>
          </w:rPr>
          <w:t>Appreciate</w:t>
        </w:r>
      </w:hyperlink>
      <w:r>
        <w:rPr>
          <w:i/>
        </w:rPr>
        <w:t xml:space="preserve">, and </w:t>
      </w:r>
      <w:hyperlink r:id="rId22">
        <w:r>
          <w:rPr>
            <w:color w:val="0000EE"/>
            <w:u w:val="single"/>
          </w:rPr>
          <w:t>Grip Invest</w:t>
        </w:r>
      </w:hyperlink>
      <w:r>
        <w:rPr>
          <w:i/>
        </w:rPr>
        <w:t>.</w:t>
      </w:r>
      <w:r/>
    </w:p>
    <w:p>
      <w:pPr>
        <w:pBdr>
          <w:bottom w:val="single" w:sz="6" w:space="1" w:color="auto"/>
        </w:pBdr>
      </w:pPr>
      <w:r/>
    </w:p>
    <w:p>
      <w:pPr>
        <w:pStyle w:val="Heading3"/>
      </w:pPr>
      <w:r>
        <w:t>Risk Considerations and Diversification Strategies</w:t>
      </w:r>
      <w:r/>
    </w:p>
    <w:p>
      <w:r/>
      <w:r>
        <w:t>While sectoral growth prospects are robust, investors must be mindful of risks such as policy changes, global economic slowdowns, and sector-specific headwinds. Diversification across these high-growth sectors, using systematic investment plans (SIPs) or sectoral ETFs, can help mitigate volatility and optimize long-term returns (</w:t>
      </w:r>
      <w:hyperlink r:id="rId19">
        <w:r>
          <w:rPr>
            <w:color w:val="0000EE"/>
            <w:u w:val="single"/>
          </w:rPr>
          <w:t>Appreciate, 2025</w:t>
        </w:r>
      </w:hyperlink>
      <w:r>
        <w:t>).</w:t>
      </w:r>
      <w:r/>
    </w:p>
    <w:p>
      <w:pPr>
        <w:pStyle w:val="Heading4"/>
      </w:pPr>
      <w:r>
        <w:t>Key Risk Factors</w:t>
      </w:r>
      <w:r/>
      <w:r/>
    </w:p>
    <w:p>
      <w:pPr>
        <w:pStyle w:val="ListBullet"/>
        <w:spacing w:line="240" w:lineRule="auto"/>
        <w:ind w:left="720"/>
      </w:pPr>
      <w:r/>
      <w:r>
        <w:rPr>
          <w:b/>
        </w:rPr>
        <w:t>Capital Goods/Infra</w:t>
      </w:r>
      <w:r>
        <w:t>: Project delays, regulatory hurdles, and commodity price volatility.</w:t>
      </w:r>
      <w:r/>
    </w:p>
    <w:p>
      <w:pPr>
        <w:pStyle w:val="ListBullet"/>
        <w:spacing w:line="240" w:lineRule="auto"/>
        <w:ind w:left="720"/>
      </w:pPr>
      <w:r/>
      <w:r>
        <w:rPr>
          <w:b/>
        </w:rPr>
        <w:t>Renewables</w:t>
      </w:r>
      <w:r>
        <w:t>: Policy uncertainty, technology risks, and capital intensity.</w:t>
      </w:r>
      <w:r/>
    </w:p>
    <w:p>
      <w:pPr>
        <w:pStyle w:val="ListBullet"/>
        <w:spacing w:line="240" w:lineRule="auto"/>
        <w:ind w:left="720"/>
      </w:pPr>
      <w:r/>
      <w:r>
        <w:rPr>
          <w:b/>
        </w:rPr>
        <w:t>Healthcare/Pharma</w:t>
      </w:r>
      <w:r>
        <w:t>: Regulatory changes, pricing pressures, and R&amp;D risks.</w:t>
      </w:r>
      <w:r/>
    </w:p>
    <w:p>
      <w:pPr>
        <w:pStyle w:val="ListBullet"/>
        <w:spacing w:line="240" w:lineRule="auto"/>
        <w:ind w:left="720"/>
      </w:pPr>
      <w:r/>
      <w:r>
        <w:rPr>
          <w:b/>
        </w:rPr>
        <w:t>Financials</w:t>
      </w:r>
      <w:r>
        <w:t>: Credit risk, NPA cycles, and regulatory interventions.</w:t>
      </w:r>
      <w:r/>
    </w:p>
    <w:p>
      <w:pPr>
        <w:pStyle w:val="ListBullet"/>
        <w:spacing w:line="240" w:lineRule="auto"/>
        <w:ind w:left="720"/>
      </w:pPr>
      <w:r/>
      <w:r>
        <w:rPr>
          <w:b/>
        </w:rPr>
        <w:t>Technology</w:t>
      </w:r>
      <w:r>
        <w:t>: Global demand fluctuations, currency risk, and rapid tech shifts.</w:t>
      </w:r>
      <w:r/>
      <w:r/>
    </w:p>
    <w:p>
      <w:pPr>
        <w:pStyle w:val="Heading4"/>
      </w:pPr>
      <w:r>
        <w:t>Diversification Example</w:t>
      </w:r>
      <w:r/>
    </w:p>
    <w:tbl>
      <w:tblPr>
        <w:tblW w:type="auto" w:w="0"/>
        <w:tblLook w:firstColumn="1" w:firstRow="1" w:lastColumn="0" w:lastRow="0" w:noHBand="0" w:noVBand="1" w:val="04A0"/>
      </w:tblPr>
      <w:tblGrid>
        <w:gridCol w:w="4320"/>
        <w:gridCol w:w="4320"/>
      </w:tblGrid>
      <w:tr>
        <w:tc>
          <w:tcPr>
            <w:tcW w:type="dxa" w:w="4320"/>
          </w:tcPr>
          <w:p>
            <w:r>
              <w:rPr>
                <w:b/>
              </w:rPr>
              <w:t>Diversification Strategy</w:t>
            </w:r>
          </w:p>
        </w:tc>
        <w:tc>
          <w:tcPr>
            <w:tcW w:type="dxa" w:w="4320"/>
          </w:tcPr>
          <w:p>
            <w:r>
              <w:rPr>
                <w:b/>
              </w:rPr>
              <w:t>Description</w:t>
            </w:r>
          </w:p>
        </w:tc>
      </w:tr>
      <w:tr>
        <w:tc>
          <w:tcPr>
            <w:tcW w:type="dxa" w:w="4320"/>
          </w:tcPr>
          <w:p>
            <w:r>
              <w:t>Sectoral Mutual Funds</w:t>
            </w:r>
          </w:p>
        </w:tc>
        <w:tc>
          <w:tcPr>
            <w:tcW w:type="dxa" w:w="4320"/>
          </w:tcPr>
          <w:p>
            <w:r>
              <w:t>Exposure to top-performing sectors with professional management</w:t>
            </w:r>
          </w:p>
        </w:tc>
      </w:tr>
      <w:tr>
        <w:tc>
          <w:tcPr>
            <w:tcW w:type="dxa" w:w="4320"/>
          </w:tcPr>
          <w:p>
            <w:r>
              <w:t>ETFs</w:t>
            </w:r>
          </w:p>
        </w:tc>
        <w:tc>
          <w:tcPr>
            <w:tcW w:type="dxa" w:w="4320"/>
          </w:tcPr>
          <w:p>
            <w:r>
              <w:t>Low-cost, diversified access to sector indices</w:t>
            </w:r>
          </w:p>
        </w:tc>
      </w:tr>
      <w:tr>
        <w:tc>
          <w:tcPr>
            <w:tcW w:type="dxa" w:w="4320"/>
          </w:tcPr>
          <w:p>
            <w:r>
              <w:t>Direct Equity</w:t>
            </w:r>
          </w:p>
        </w:tc>
        <w:tc>
          <w:tcPr>
            <w:tcW w:type="dxa" w:w="4320"/>
          </w:tcPr>
          <w:p>
            <w:r>
              <w:t>Focused bets on sector leaders and innovators</w:t>
            </w:r>
          </w:p>
        </w:tc>
      </w:tr>
      <w:tr>
        <w:tc>
          <w:tcPr>
            <w:tcW w:type="dxa" w:w="4320"/>
          </w:tcPr>
          <w:p>
            <w:r>
              <w:t>SIPs</w:t>
            </w:r>
          </w:p>
        </w:tc>
        <w:tc>
          <w:tcPr>
            <w:tcW w:type="dxa" w:w="4320"/>
          </w:tcPr>
          <w:p>
            <w:r>
              <w:t>Rupee cost averaging to reduce timing risk</w:t>
            </w:r>
          </w:p>
        </w:tc>
      </w:tr>
    </w:tbl>
    <w:p>
      <w:r/>
    </w:p>
    <w:p>
      <w:r/>
      <w:r>
        <w:t>By balancing sectoral allocations and monitoring macroeconomic and policy developments, investors can position themselves to benefit from India’s multi-year growth trajectory while managing downside risks (</w:t>
      </w:r>
      <w:hyperlink r:id="rId16">
        <w:r>
          <w:rPr>
            <w:color w:val="0000EE"/>
            <w:u w:val="single"/>
          </w:rPr>
          <w:t>Forbes Advisor, 2024</w:t>
        </w:r>
      </w:hyperlink>
      <w:r>
        <w:t>).</w:t>
      </w:r>
      <w:r/>
    </w:p>
    <w:p>
      <w:pPr>
        <w:pStyle w:val="Heading2"/>
      </w:pPr>
      <w:r>
        <w:t>Risks and Considerations</w:t>
      </w:r>
      <w:r/>
    </w:p>
    <w:p>
      <w:pPr>
        <w:pStyle w:val="Heading3"/>
      </w:pPr>
      <w:r>
        <w:t>Valuation Risks and Market Froth</w:t>
      </w:r>
      <w:r/>
    </w:p>
    <w:p>
      <w:r/>
      <w:r>
        <w:t>Indian equity markets in 2025 are trading at historically high valuation multiples, particularly in comparison to global peers. As of March 2025, the trailing price-to-earnings (PE) ratio of the MSCI India Index stands at approximately 25, while the MSCI Emerging Markets Index and MSCI World Index are at 15 and 21, respectively. On a 12-month forward PE basis, the MSCI India Index commands a premium with a PE of nearly 21, compared to 18 for global markets and 12 for emerging markets (</w:t>
      </w:r>
      <w:hyperlink r:id="rId12">
        <w:r>
          <w:rPr>
            <w:color w:val="0000EE"/>
            <w:u w:val="single"/>
          </w:rPr>
          <w:t>Financial Express, 2025</w:t>
        </w:r>
      </w:hyperlink>
      <w:r>
        <w:t>).</w:t>
      </w:r>
      <w:r/>
    </w:p>
    <w:p>
      <w:r/>
      <w:r>
        <w:t>Mid-cap and small-cap segments are even more stretched, with the Midcap-to-Sensex ratio at 0.53 and Smallcap-to-Sensex at 0.59, both above their long-term medians of 0.45 and 0.47. This persistent valuation premium raises the risk of sharp corrections if earnings growth fails to keep pace or if global risk appetite wanes. Investors holding for five years must be prepared for potential volatility and the possibility of valuation multiples normalizing.</w:t>
      </w:r>
      <w:r/>
    </w:p>
    <w:tbl>
      <w:tblPr>
        <w:tblW w:type="auto" w:w="0"/>
        <w:tblLook w:firstColumn="1" w:firstRow="1" w:lastColumn="0" w:lastRow="0" w:noHBand="0" w:noVBand="1" w:val="04A0"/>
      </w:tblPr>
      <w:tblGrid>
        <w:gridCol w:w="2880"/>
        <w:gridCol w:w="2880"/>
        <w:gridCol w:w="2880"/>
      </w:tblGrid>
      <w:tr>
        <w:tc>
          <w:tcPr>
            <w:tcW w:type="dxa" w:w="2880"/>
          </w:tcPr>
          <w:p>
            <w:r>
              <w:rPr>
                <w:b/>
              </w:rPr>
              <w:t>Index/Ratio</w:t>
            </w:r>
          </w:p>
        </w:tc>
        <w:tc>
          <w:tcPr>
            <w:tcW w:type="dxa" w:w="2880"/>
          </w:tcPr>
          <w:p>
            <w:r>
              <w:rPr>
                <w:b/>
              </w:rPr>
              <w:t>Current (May 2025)</w:t>
            </w:r>
          </w:p>
        </w:tc>
        <w:tc>
          <w:tcPr>
            <w:tcW w:type="dxa" w:w="2880"/>
          </w:tcPr>
          <w:p>
            <w:r>
              <w:rPr>
                <w:b/>
              </w:rPr>
              <w:t>Long-Term Median</w:t>
            </w:r>
          </w:p>
        </w:tc>
      </w:tr>
      <w:tr>
        <w:tc>
          <w:tcPr>
            <w:tcW w:type="dxa" w:w="2880"/>
          </w:tcPr>
          <w:p>
            <w:r>
              <w:t>MSCI India Trailing PE</w:t>
            </w:r>
          </w:p>
        </w:tc>
        <w:tc>
          <w:tcPr>
            <w:tcW w:type="dxa" w:w="2880"/>
          </w:tcPr>
          <w:p>
            <w:r>
              <w:t>25-26</w:t>
            </w:r>
          </w:p>
        </w:tc>
        <w:tc>
          <w:tcPr>
            <w:tcW w:type="dxa" w:w="2880"/>
          </w:tcPr>
          <w:p>
            <w:r>
              <w:t>~19-20</w:t>
            </w:r>
          </w:p>
        </w:tc>
      </w:tr>
      <w:tr>
        <w:tc>
          <w:tcPr>
            <w:tcW w:type="dxa" w:w="2880"/>
          </w:tcPr>
          <w:p>
            <w:r>
              <w:t>MSCI EM Trailing PE</w:t>
            </w:r>
          </w:p>
        </w:tc>
        <w:tc>
          <w:tcPr>
            <w:tcW w:type="dxa" w:w="2880"/>
          </w:tcPr>
          <w:p>
            <w:r>
              <w:t>15</w:t>
            </w:r>
          </w:p>
        </w:tc>
        <w:tc>
          <w:tcPr>
            <w:tcW w:type="dxa" w:w="2880"/>
          </w:tcPr>
          <w:p>
            <w:r>
              <w:t>~13-15</w:t>
            </w:r>
          </w:p>
        </w:tc>
      </w:tr>
      <w:tr>
        <w:tc>
          <w:tcPr>
            <w:tcW w:type="dxa" w:w="2880"/>
          </w:tcPr>
          <w:p>
            <w:r>
              <w:t>MSCI World Trailing PE</w:t>
            </w:r>
          </w:p>
        </w:tc>
        <w:tc>
          <w:tcPr>
            <w:tcW w:type="dxa" w:w="2880"/>
          </w:tcPr>
          <w:p>
            <w:r>
              <w:t>21</w:t>
            </w:r>
          </w:p>
        </w:tc>
        <w:tc>
          <w:tcPr>
            <w:tcW w:type="dxa" w:w="2880"/>
          </w:tcPr>
          <w:p>
            <w:r>
              <w:t>~17-19</w:t>
            </w:r>
          </w:p>
        </w:tc>
      </w:tr>
      <w:tr>
        <w:tc>
          <w:tcPr>
            <w:tcW w:type="dxa" w:w="2880"/>
          </w:tcPr>
          <w:p>
            <w:r>
              <w:t>Midcap-to-Sensex Ratio</w:t>
            </w:r>
          </w:p>
        </w:tc>
        <w:tc>
          <w:tcPr>
            <w:tcW w:type="dxa" w:w="2880"/>
          </w:tcPr>
          <w:p>
            <w:r>
              <w:t>0.53</w:t>
            </w:r>
          </w:p>
        </w:tc>
        <w:tc>
          <w:tcPr>
            <w:tcW w:type="dxa" w:w="2880"/>
          </w:tcPr>
          <w:p>
            <w:r>
              <w:t>0.45</w:t>
            </w:r>
          </w:p>
        </w:tc>
      </w:tr>
      <w:tr>
        <w:tc>
          <w:tcPr>
            <w:tcW w:type="dxa" w:w="2880"/>
          </w:tcPr>
          <w:p>
            <w:r>
              <w:t>Smallcap-to-Sensex Ratio</w:t>
            </w:r>
          </w:p>
        </w:tc>
        <w:tc>
          <w:tcPr>
            <w:tcW w:type="dxa" w:w="2880"/>
          </w:tcPr>
          <w:p>
            <w:r>
              <w:t>0.59</w:t>
            </w:r>
          </w:p>
        </w:tc>
        <w:tc>
          <w:tcPr>
            <w:tcW w:type="dxa" w:w="2880"/>
          </w:tcPr>
          <w:p>
            <w:r>
              <w:t>0.47</w:t>
            </w:r>
          </w:p>
        </w:tc>
      </w:tr>
    </w:tbl>
    <w:p>
      <w:r/>
    </w:p>
    <w:p>
      <w:pPr>
        <w:pStyle w:val="Heading3"/>
      </w:pPr>
      <w:r>
        <w:t>Global Macroeconomic and Geopolitical Exposures</w:t>
      </w:r>
      <w:r/>
    </w:p>
    <w:p>
      <w:r/>
      <w:r>
        <w:t>The Indian stock market's trajectory is increasingly influenced by global macroeconomic shifts and geopolitical developments. Key risks include:</w:t>
      </w:r>
      <w:r/>
      <w:r/>
    </w:p>
    <w:p>
      <w:pPr>
        <w:pStyle w:val="ListBullet"/>
        <w:spacing w:line="240" w:lineRule="auto"/>
        <w:ind w:left="720"/>
      </w:pPr>
      <w:r/>
      <w:r>
        <w:rPr>
          <w:b/>
        </w:rPr>
        <w:t>US Tariffs and Trade Policy:</w:t>
      </w:r>
      <w:r>
        <w:t xml:space="preserve"> The threat of reciprocal tariffs from the US, particularly on sectors like steel, aluminum, agriculture, auto, chemicals, and IT, could directly impact export-oriented Indian companies (</w:t>
      </w:r>
      <w:hyperlink r:id="rId12">
        <w:r>
          <w:rPr>
            <w:color w:val="0000EE"/>
            <w:u w:val="single"/>
          </w:rPr>
          <w:t>Financial Express, 2025</w:t>
        </w:r>
      </w:hyperlink>
      <w:r>
        <w:t>).</w:t>
      </w:r>
      <w:r/>
    </w:p>
    <w:p>
      <w:pPr>
        <w:pStyle w:val="ListBullet"/>
        <w:spacing w:line="240" w:lineRule="auto"/>
        <w:ind w:left="720"/>
      </w:pPr>
      <w:r/>
      <w:r>
        <w:rPr>
          <w:b/>
        </w:rPr>
        <w:t>Currency Volatility:</w:t>
      </w:r>
      <w:r>
        <w:t xml:space="preserve"> The Indian Rupee has depreciated to record lows against the US Dollar, raising import costs and pressuring sectors dependent on foreign inputs such as oil, automobiles, and FMCG (</w:t>
      </w:r>
      <w:hyperlink r:id="rId11">
        <w:r>
          <w:rPr>
            <w:color w:val="0000EE"/>
            <w:u w:val="single"/>
          </w:rPr>
          <w:t>Riddhi Siddhi Share Brokers, 2025</w:t>
        </w:r>
      </w:hyperlink>
      <w:r>
        <w:t>).</w:t>
      </w:r>
      <w:r/>
    </w:p>
    <w:p>
      <w:pPr>
        <w:pStyle w:val="ListBullet"/>
        <w:spacing w:line="240" w:lineRule="auto"/>
        <w:ind w:left="720"/>
      </w:pPr>
      <w:r/>
      <w:r>
        <w:rPr>
          <w:b/>
        </w:rPr>
        <w:t>US Federal Reserve Policy:</w:t>
      </w:r>
      <w:r>
        <w:t xml:space="preserve"> Persistently high US interest rates can trigger Foreign Institutional Investor (FII) outflows, increasing volatility and liquidity risk in Indian equities. Conversely, a Fed pivot to rate cuts could reverse this trend but is subject to global inflation and growth dynamics.</w:t>
      </w:r>
      <w:r/>
      <w:r/>
    </w:p>
    <w:p>
      <w:r/>
      <w:r>
        <w:t>Geopolitical tensions—such as conflicts impacting crude oil supply—can spike commodity prices and disrupt supply chains, adding further unpredictability to earnings and market sentiment (</w:t>
      </w:r>
      <w:hyperlink r:id="rId11">
        <w:r>
          <w:rPr>
            <w:color w:val="0000EE"/>
            <w:u w:val="single"/>
          </w:rPr>
          <w:t>Riddhi Siddhi Share Brokers, 2025</w:t>
        </w:r>
      </w:hyperlink>
      <w:r>
        <w:t>).</w:t>
      </w:r>
      <w:r/>
    </w:p>
    <w:p>
      <w:pPr>
        <w:pStyle w:val="Heading3"/>
      </w:pPr>
      <w:r>
        <w:t>Earnings Growth Versus Economic Growth</w:t>
      </w:r>
      <w:r/>
    </w:p>
    <w:p>
      <w:r/>
      <w:r>
        <w:t>While India’s GDP is projected to grow at 6.5-7% for FY2025, there is a notable divergence between macroeconomic growth and corporate earnings momentum. Disappointing or uneven earnings growth, particularly in sectors facing margin pressures from rising input costs or slowing consumption, could undermine market performance and challenge the sustainability of premium valuations (</w:t>
      </w:r>
      <w:hyperlink r:id="rId12">
        <w:r>
          <w:rPr>
            <w:color w:val="0000EE"/>
            <w:u w:val="single"/>
          </w:rPr>
          <w:t>Financial Express, 2025</w:t>
        </w:r>
      </w:hyperlink>
      <w:r>
        <w:t>).</w:t>
      </w:r>
      <w:r/>
    </w:p>
    <w:p>
      <w:r/>
      <w:r>
        <w:t>The risk is especially pronounced in discretionary consumption and export-oriented sectors, where global demand softness or cost inflation can erode profitability. Investors should scrutinize earnings quality, margin resilience, and sector-specific headwinds when making long-term allocations.</w:t>
      </w:r>
      <w:r/>
    </w:p>
    <w:p>
      <w:pPr>
        <w:pStyle w:val="Heading3"/>
      </w:pPr>
      <w:r>
        <w:t>Sector-Specific Vulnerabilities</w:t>
      </w:r>
      <w:r/>
    </w:p>
    <w:p>
      <w:r/>
      <w:r>
        <w:t>Certain sectors, while offering high growth potential, also carry unique risks that long-term investors must weigh:</w:t>
      </w:r>
      <w:r/>
      <w:r/>
    </w:p>
    <w:p>
      <w:pPr>
        <w:pStyle w:val="ListBullet"/>
        <w:spacing w:line="240" w:lineRule="auto"/>
        <w:ind w:left="720"/>
      </w:pPr>
      <w:r/>
      <w:r>
        <w:rPr>
          <w:b/>
        </w:rPr>
        <w:t>Manufacturing and Export Sectors:</w:t>
      </w:r>
      <w:r>
        <w:t xml:space="preserve"> Vulnerable to global trade disruptions, tariff escalations, and currency swings. The Production Linked Incentive (PLI) scheme provides a tailwind, but global demand and competitive dynamics remain critical (</w:t>
      </w:r>
      <w:hyperlink r:id="rId24">
        <w:r>
          <w:rPr>
            <w:color w:val="0000EE"/>
            <w:u w:val="single"/>
          </w:rPr>
          <w:t>Equirus Wealth, 2025</w:t>
        </w:r>
      </w:hyperlink>
      <w:r>
        <w:t>).</w:t>
      </w:r>
      <w:r/>
    </w:p>
    <w:p>
      <w:pPr>
        <w:pStyle w:val="ListBullet"/>
        <w:spacing w:line="240" w:lineRule="auto"/>
        <w:ind w:left="720"/>
      </w:pPr>
      <w:r/>
      <w:r>
        <w:rPr>
          <w:b/>
        </w:rPr>
        <w:t>Technology and Digital Services:</w:t>
      </w:r>
      <w:r>
        <w:t xml:space="preserve"> While IT and SaaS companies benefit from global digitalization, they are exposed to US/Europe recession risks, regulatory changes, and talent cost inflation (</w:t>
      </w:r>
      <w:hyperlink r:id="rId25">
        <w:r>
          <w:rPr>
            <w:color w:val="0000EE"/>
            <w:u w:val="single"/>
          </w:rPr>
          <w:t>Insider Finology, 2025</w:t>
        </w:r>
      </w:hyperlink>
      <w:r>
        <w:t>).</w:t>
      </w:r>
      <w:r/>
    </w:p>
    <w:p>
      <w:pPr>
        <w:pStyle w:val="ListBullet"/>
        <w:spacing w:line="240" w:lineRule="auto"/>
        <w:ind w:left="720"/>
      </w:pPr>
      <w:r/>
      <w:r>
        <w:rPr>
          <w:b/>
        </w:rPr>
        <w:t>Financial Services:</w:t>
      </w:r>
      <w:r>
        <w:t xml:space="preserve"> Rapid digital transformation and fintech integration present opportunities, but also regulatory, cybersecurity, and asset quality risks, especially if economic growth falters (</w:t>
      </w:r>
      <w:hyperlink r:id="rId24">
        <w:r>
          <w:rPr>
            <w:color w:val="0000EE"/>
            <w:u w:val="single"/>
          </w:rPr>
          <w:t>Equirus Wealth, 2025</w:t>
        </w:r>
      </w:hyperlink>
      <w:r>
        <w:t>).</w:t>
      </w:r>
      <w:r/>
    </w:p>
    <w:p>
      <w:pPr>
        <w:pStyle w:val="ListBullet"/>
        <w:spacing w:line="240" w:lineRule="auto"/>
        <w:ind w:left="720"/>
      </w:pPr>
      <w:r/>
      <w:r>
        <w:rPr>
          <w:b/>
        </w:rPr>
        <w:t>Energy and Commodities:</w:t>
      </w:r>
      <w:r>
        <w:t xml:space="preserve"> Renewable energy is a structural growth area, but legacy energy and utilities face regulatory, price, and transition risks as the economy decarbonizes (</w:t>
      </w:r>
      <w:hyperlink r:id="rId23">
        <w:r>
          <w:rPr>
            <w:color w:val="0000EE"/>
            <w:u w:val="single"/>
          </w:rPr>
          <w:t>MithilTech, 2024</w:t>
        </w:r>
      </w:hyperlink>
      <w:r>
        <w:t>).</w:t>
      </w:r>
      <w:r/>
      <w:r/>
    </w:p>
    <w:tbl>
      <w:tblPr>
        <w:tblW w:type="auto" w:w="0"/>
        <w:tblLook w:firstColumn="1" w:firstRow="1" w:lastColumn="0" w:lastRow="0" w:noHBand="0" w:noVBand="1" w:val="04A0"/>
      </w:tblPr>
      <w:tblGrid>
        <w:gridCol w:w="4320"/>
        <w:gridCol w:w="4320"/>
      </w:tblGrid>
      <w:tr>
        <w:tc>
          <w:tcPr>
            <w:tcW w:type="dxa" w:w="4320"/>
          </w:tcPr>
          <w:p>
            <w:r>
              <w:rPr>
                <w:b/>
              </w:rPr>
              <w:t>Sector</w:t>
            </w:r>
          </w:p>
        </w:tc>
        <w:tc>
          <w:tcPr>
            <w:tcW w:type="dxa" w:w="4320"/>
          </w:tcPr>
          <w:p>
            <w:r>
              <w:rPr>
                <w:b/>
              </w:rPr>
              <w:t>Key Risks</w:t>
            </w:r>
          </w:p>
        </w:tc>
      </w:tr>
      <w:tr>
        <w:tc>
          <w:tcPr>
            <w:tcW w:type="dxa" w:w="4320"/>
          </w:tcPr>
          <w:p>
            <w:r>
              <w:t>Manufacturing/Exports</w:t>
            </w:r>
          </w:p>
        </w:tc>
        <w:tc>
          <w:tcPr>
            <w:tcW w:type="dxa" w:w="4320"/>
          </w:tcPr>
          <w:p>
            <w:r>
              <w:t>Tariffs, currency, global demand</w:t>
            </w:r>
          </w:p>
        </w:tc>
      </w:tr>
      <w:tr>
        <w:tc>
          <w:tcPr>
            <w:tcW w:type="dxa" w:w="4320"/>
          </w:tcPr>
          <w:p>
            <w:r>
              <w:t>IT/Digital Services</w:t>
            </w:r>
          </w:p>
        </w:tc>
        <w:tc>
          <w:tcPr>
            <w:tcW w:type="dxa" w:w="4320"/>
          </w:tcPr>
          <w:p>
            <w:r>
              <w:t>Global recession, regulation, talent costs</w:t>
            </w:r>
          </w:p>
        </w:tc>
      </w:tr>
      <w:tr>
        <w:tc>
          <w:tcPr>
            <w:tcW w:type="dxa" w:w="4320"/>
          </w:tcPr>
          <w:p>
            <w:r>
              <w:t>Financial Services</w:t>
            </w:r>
          </w:p>
        </w:tc>
        <w:tc>
          <w:tcPr>
            <w:tcW w:type="dxa" w:w="4320"/>
          </w:tcPr>
          <w:p>
            <w:r>
              <w:t>Asset quality, regulation, tech disruption</w:t>
            </w:r>
          </w:p>
        </w:tc>
      </w:tr>
      <w:tr>
        <w:tc>
          <w:tcPr>
            <w:tcW w:type="dxa" w:w="4320"/>
          </w:tcPr>
          <w:p>
            <w:r>
              <w:t>Energy/Commodities</w:t>
            </w:r>
          </w:p>
        </w:tc>
        <w:tc>
          <w:tcPr>
            <w:tcW w:type="dxa" w:w="4320"/>
          </w:tcPr>
          <w:p>
            <w:r>
              <w:t>Price volatility, transition risk, regulation</w:t>
            </w:r>
          </w:p>
        </w:tc>
      </w:tr>
    </w:tbl>
    <w:p>
      <w:r/>
    </w:p>
    <w:p>
      <w:pPr>
        <w:pStyle w:val="Heading3"/>
      </w:pPr>
      <w:r>
        <w:t>Domestic Policy and Regulatory Uncertainty</w:t>
      </w:r>
      <w:r/>
    </w:p>
    <w:p>
      <w:r/>
      <w:r>
        <w:t>While India’s political stability and pro-growth policy stance are positives, regulatory risks remain. Potential changes in taxation, sectoral incentives, or compliance norms can impact sector profitability and investment returns. For instance, sudden shifts in GST rates, changes in FDI policy, or sector-specific regulations (such as data privacy for tech or environmental norms for manufacturing) can alter the investment landscape (</w:t>
      </w:r>
      <w:hyperlink r:id="rId26">
        <w:r>
          <w:rPr>
            <w:color w:val="0000EE"/>
            <w:u w:val="single"/>
          </w:rPr>
          <w:t>Value Research Online, 2025</w:t>
        </w:r>
      </w:hyperlink>
      <w:r>
        <w:t>).</w:t>
      </w:r>
      <w:r/>
    </w:p>
    <w:p>
      <w:r/>
      <w:r>
        <w:t>Furthermore, the rapid evolution of corporate governance standards and market regulations—while enhancing transparency—may introduce compliance costs and operational adjustments, particularly for mid-cap and small-cap companies.</w:t>
      </w:r>
      <w:r/>
    </w:p>
    <w:p>
      <w:pPr>
        <w:pStyle w:val="Heading3"/>
      </w:pPr>
      <w:r>
        <w:t>Liquidity and Market Depth Risks</w:t>
      </w:r>
      <w:r/>
    </w:p>
    <w:p>
      <w:r/>
      <w:r>
        <w:t>India’s market depth has improved, with robust domestic investor participation and advanced trading infrastructure. However, liquidity risk persists, especially in mid- and small-cap segments. Episodes of FII outflows or domestic risk aversion can trigger sharp price swings and widen bid-ask spreads, making it challenging to exit positions without significant impact costs (</w:t>
      </w:r>
      <w:hyperlink r:id="rId24">
        <w:r>
          <w:rPr>
            <w:color w:val="0000EE"/>
            <w:u w:val="single"/>
          </w:rPr>
          <w:t>Equirus Wealth, 2025</w:t>
        </w:r>
      </w:hyperlink>
      <w:r>
        <w:t>).</w:t>
      </w:r>
      <w:r/>
    </w:p>
    <w:p>
      <w:r/>
      <w:r>
        <w:t>Investors with a five-year horizon should be prepared for periods of illiquidity and avoid over-concentration in less liquid stocks or sectors.</w:t>
      </w:r>
      <w:r/>
    </w:p>
    <w:p>
      <w:pPr>
        <w:pStyle w:val="Heading3"/>
      </w:pPr>
      <w:r>
        <w:t>Behavioral and Sentiment-Driven Risks</w:t>
      </w:r>
      <w:r/>
    </w:p>
    <w:p>
      <w:r/>
      <w:r>
        <w:t>The surge in retail and domestic investor activity, while cushioning against FII outflows, also introduces behavioral risks. Herding, momentum chasing, and panic selling during corrections can amplify volatility. The prevalence of Systematic Investment Plans (SIPs) has promoted discipline, but sharp market drawdowns may still test investor resolve and lead to suboptimal timing decisions (</w:t>
      </w:r>
      <w:hyperlink r:id="rId12">
        <w:r>
          <w:rPr>
            <w:color w:val="0000EE"/>
            <w:u w:val="single"/>
          </w:rPr>
          <w:t>Financial Express, 2025</w:t>
        </w:r>
      </w:hyperlink>
      <w:r>
        <w:t>).</w:t>
      </w:r>
      <w:r/>
    </w:p>
    <w:p>
      <w:r/>
      <w:r>
        <w:t>Long-term investors must maintain a focus on fundamentals, avoid emotional reactions to short-term market moves, and utilize volatility as an opportunity for disciplined accumulation.</w:t>
      </w:r>
      <w:r/>
    </w:p>
    <w:p>
      <w:pPr>
        <w:pStyle w:val="Heading3"/>
      </w:pPr>
      <w:r>
        <w:t>Environmental, Social, and Governance (ESG) Risks</w:t>
      </w:r>
      <w:r/>
    </w:p>
    <w:p>
      <w:r/>
      <w:r>
        <w:t>ESG factors are increasingly shaping investment outcomes in India. Companies failing to adapt to evolving environmental regulations, social expectations, or governance standards risk capital flight, regulatory penalties, and reputational damage. Sectors such as energy, manufacturing, and financials are particularly exposed to ESG-related disruptions (</w:t>
      </w:r>
      <w:hyperlink r:id="rId24">
        <w:r>
          <w:rPr>
            <w:color w:val="0000EE"/>
            <w:u w:val="single"/>
          </w:rPr>
          <w:t>Equirus Wealth, 2025</w:t>
        </w:r>
      </w:hyperlink>
      <w:r>
        <w:t>).</w:t>
      </w:r>
      <w:r/>
    </w:p>
    <w:p>
      <w:r/>
      <w:r>
        <w:t>Investors should integrate ESG due diligence into their sector and stock selection process, prioritizing companies with robust sustainability practices and transparent governance.</w:t>
      </w:r>
      <w:r/>
    </w:p>
    <w:p>
      <w:pPr>
        <w:pStyle w:val="Heading3"/>
      </w:pPr>
      <w:r>
        <w:t>Inflation and Interest Rate Sensitivity</w:t>
      </w:r>
      <w:r/>
    </w:p>
    <w:p>
      <w:r/>
      <w:r>
        <w:t>Persistent inflationary pressures—driven by global commodity prices, supply chain disruptions, or domestic demand—can erode real returns and compress corporate margins. Sectors with high input cost sensitivity (e.g., FMCG, auto, infrastructure) are especially vulnerable. Additionally, shifts in domestic interest rates, whether due to RBI policy or global spillovers, can affect borrowing costs, consumption, and investment demand (</w:t>
      </w:r>
      <w:hyperlink r:id="rId11">
        <w:r>
          <w:rPr>
            <w:color w:val="0000EE"/>
            <w:u w:val="single"/>
          </w:rPr>
          <w:t>Riddhi Siddhi Share Brokers, 2025</w:t>
        </w:r>
      </w:hyperlink>
      <w:r>
        <w:t>).</w:t>
      </w:r>
      <w:r/>
    </w:p>
    <w:p>
      <w:r/>
      <w:r>
        <w:t>Investors should monitor inflation trends and interest rate expectations, adjusting sector allocations to favor businesses with pricing power and resilient balance sheets.</w:t>
      </w:r>
      <w:r/>
    </w:p>
    <w:p>
      <w:pPr>
        <w:pStyle w:val="Heading3"/>
      </w:pPr>
      <w:r>
        <w:t>Technological Disruption and Innovation Risk</w:t>
      </w:r>
      <w:r/>
    </w:p>
    <w:p>
      <w:r/>
      <w:r>
        <w:t>While sectors like IT, fintech, and e-commerce are beneficiaries of digital transformation, rapid technological change also poses obsolescence risks. Companies unable to innovate or adapt to new business models may lose market share or face margin compression. Conversely, first movers in AI, automation, and digital platforms can capture outsized growth (</w:t>
      </w:r>
      <w:hyperlink r:id="rId14">
        <w:r>
          <w:rPr>
            <w:color w:val="0000EE"/>
            <w:u w:val="single"/>
          </w:rPr>
          <w:t>Jarvis Invest, 2025</w:t>
        </w:r>
      </w:hyperlink>
      <w:r>
        <w:t>).</w:t>
      </w:r>
      <w:r/>
    </w:p>
    <w:p>
      <w:r/>
      <w:r>
        <w:t>Long-term investors should prioritize sectors and companies with demonstrated innovation capacity, scalable business models, and strong intellectual property.</w:t>
      </w:r>
      <w:r/>
    </w:p>
    <w:p>
      <w:pPr>
        <w:pStyle w:val="Heading3"/>
      </w:pPr>
      <w:r>
        <w:t>Summary Table: Key Risks for 5-Year Sector Investing</w:t>
      </w:r>
      <w:r/>
    </w:p>
    <w:tbl>
      <w:tblPr>
        <w:tblW w:type="auto" w:w="0"/>
        <w:tblLook w:firstColumn="1" w:firstRow="1" w:lastColumn="0" w:lastRow="0" w:noHBand="0" w:noVBand="1" w:val="04A0"/>
      </w:tblPr>
      <w:tblGrid>
        <w:gridCol w:w="2880"/>
        <w:gridCol w:w="2880"/>
        <w:gridCol w:w="2880"/>
      </w:tblGrid>
      <w:tr>
        <w:tc>
          <w:tcPr>
            <w:tcW w:type="dxa" w:w="2880"/>
          </w:tcPr>
          <w:p>
            <w:r>
              <w:rPr>
                <w:b/>
              </w:rPr>
              <w:t>Risk Factor</w:t>
            </w:r>
          </w:p>
        </w:tc>
        <w:tc>
          <w:tcPr>
            <w:tcW w:type="dxa" w:w="2880"/>
          </w:tcPr>
          <w:p>
            <w:r>
              <w:rPr>
                <w:b/>
              </w:rPr>
              <w:t>Impacted Sectors</w:t>
            </w:r>
          </w:p>
        </w:tc>
        <w:tc>
          <w:tcPr>
            <w:tcW w:type="dxa" w:w="2880"/>
          </w:tcPr>
          <w:p>
            <w:r>
              <w:rPr>
                <w:b/>
              </w:rPr>
              <w:t>Nature of Risk</w:t>
            </w:r>
          </w:p>
        </w:tc>
      </w:tr>
      <w:tr>
        <w:tc>
          <w:tcPr>
            <w:tcW w:type="dxa" w:w="2880"/>
          </w:tcPr>
          <w:p>
            <w:r>
              <w:t>Valuation Risk</w:t>
            </w:r>
          </w:p>
        </w:tc>
        <w:tc>
          <w:tcPr>
            <w:tcW w:type="dxa" w:w="2880"/>
          </w:tcPr>
          <w:p>
            <w:r>
              <w:t>All, esp. mid/small caps</w:t>
            </w:r>
          </w:p>
        </w:tc>
        <w:tc>
          <w:tcPr>
            <w:tcW w:type="dxa" w:w="2880"/>
          </w:tcPr>
          <w:p>
            <w:r>
              <w:t>Potential for sharp corrections if earnings disappoint</w:t>
            </w:r>
          </w:p>
        </w:tc>
      </w:tr>
      <w:tr>
        <w:tc>
          <w:tcPr>
            <w:tcW w:type="dxa" w:w="2880"/>
          </w:tcPr>
          <w:p>
            <w:r>
              <w:t>Global Macro/Geopolitics</w:t>
            </w:r>
          </w:p>
        </w:tc>
        <w:tc>
          <w:tcPr>
            <w:tcW w:type="dxa" w:w="2880"/>
          </w:tcPr>
          <w:p>
            <w:r>
              <w:t>Exports, IT, manufacturing</w:t>
            </w:r>
          </w:p>
        </w:tc>
        <w:tc>
          <w:tcPr>
            <w:tcW w:type="dxa" w:w="2880"/>
          </w:tcPr>
          <w:p>
            <w:r>
              <w:t>Tariffs, currency, oil prices, FII flows</w:t>
            </w:r>
          </w:p>
        </w:tc>
      </w:tr>
      <w:tr>
        <w:tc>
          <w:tcPr>
            <w:tcW w:type="dxa" w:w="2880"/>
          </w:tcPr>
          <w:p>
            <w:r>
              <w:t>Earnings vs. GDP Divergence</w:t>
            </w:r>
          </w:p>
        </w:tc>
        <w:tc>
          <w:tcPr>
            <w:tcW w:type="dxa" w:w="2880"/>
          </w:tcPr>
          <w:p>
            <w:r>
              <w:t>Discretionary, exports</w:t>
            </w:r>
          </w:p>
        </w:tc>
        <w:tc>
          <w:tcPr>
            <w:tcW w:type="dxa" w:w="2880"/>
          </w:tcPr>
          <w:p>
            <w:r>
              <w:t>Margin compression, demand slowdown</w:t>
            </w:r>
          </w:p>
        </w:tc>
      </w:tr>
      <w:tr>
        <w:tc>
          <w:tcPr>
            <w:tcW w:type="dxa" w:w="2880"/>
          </w:tcPr>
          <w:p>
            <w:r>
              <w:t>Regulatory/Policy Shifts</w:t>
            </w:r>
          </w:p>
        </w:tc>
        <w:tc>
          <w:tcPr>
            <w:tcW w:type="dxa" w:w="2880"/>
          </w:tcPr>
          <w:p>
            <w:r>
              <w:t>Financials, manufacturing, tech</w:t>
            </w:r>
          </w:p>
        </w:tc>
        <w:tc>
          <w:tcPr>
            <w:tcW w:type="dxa" w:w="2880"/>
          </w:tcPr>
          <w:p>
            <w:r>
              <w:t>Tax, compliance, sector incentives</w:t>
            </w:r>
          </w:p>
        </w:tc>
      </w:tr>
      <w:tr>
        <w:tc>
          <w:tcPr>
            <w:tcW w:type="dxa" w:w="2880"/>
          </w:tcPr>
          <w:p>
            <w:r>
              <w:t>Liquidity Risk</w:t>
            </w:r>
          </w:p>
        </w:tc>
        <w:tc>
          <w:tcPr>
            <w:tcW w:type="dxa" w:w="2880"/>
          </w:tcPr>
          <w:p>
            <w:r>
              <w:t>Mid/small caps</w:t>
            </w:r>
          </w:p>
        </w:tc>
        <w:tc>
          <w:tcPr>
            <w:tcW w:type="dxa" w:w="2880"/>
          </w:tcPr>
          <w:p>
            <w:r>
              <w:t>Illiquidity, sharp drawdowns</w:t>
            </w:r>
          </w:p>
        </w:tc>
      </w:tr>
      <w:tr>
        <w:tc>
          <w:tcPr>
            <w:tcW w:type="dxa" w:w="2880"/>
          </w:tcPr>
          <w:p>
            <w:r>
              <w:t>Behavioral/Sentiment</w:t>
            </w:r>
          </w:p>
        </w:tc>
        <w:tc>
          <w:tcPr>
            <w:tcW w:type="dxa" w:w="2880"/>
          </w:tcPr>
          <w:p>
            <w:r>
              <w:t>All, esp. retail-heavy sectors</w:t>
            </w:r>
          </w:p>
        </w:tc>
        <w:tc>
          <w:tcPr>
            <w:tcW w:type="dxa" w:w="2880"/>
          </w:tcPr>
          <w:p>
            <w:r>
              <w:t>Panic selling, herding, volatility</w:t>
            </w:r>
          </w:p>
        </w:tc>
      </w:tr>
      <w:tr>
        <w:tc>
          <w:tcPr>
            <w:tcW w:type="dxa" w:w="2880"/>
          </w:tcPr>
          <w:p>
            <w:r>
              <w:t>ESG Risk</w:t>
            </w:r>
          </w:p>
        </w:tc>
        <w:tc>
          <w:tcPr>
            <w:tcW w:type="dxa" w:w="2880"/>
          </w:tcPr>
          <w:p>
            <w:r>
              <w:t>Energy, manufacturing, financials</w:t>
            </w:r>
          </w:p>
        </w:tc>
        <w:tc>
          <w:tcPr>
            <w:tcW w:type="dxa" w:w="2880"/>
          </w:tcPr>
          <w:p>
            <w:r>
              <w:t>Regulatory penalties, capital flight</w:t>
            </w:r>
          </w:p>
        </w:tc>
      </w:tr>
      <w:tr>
        <w:tc>
          <w:tcPr>
            <w:tcW w:type="dxa" w:w="2880"/>
          </w:tcPr>
          <w:p>
            <w:r>
              <w:t>Inflation/Interest Rate</w:t>
            </w:r>
          </w:p>
        </w:tc>
        <w:tc>
          <w:tcPr>
            <w:tcW w:type="dxa" w:w="2880"/>
          </w:tcPr>
          <w:p>
            <w:r>
              <w:t>FMCG, auto, infra, financials</w:t>
            </w:r>
          </w:p>
        </w:tc>
        <w:tc>
          <w:tcPr>
            <w:tcW w:type="dxa" w:w="2880"/>
          </w:tcPr>
          <w:p>
            <w:r>
              <w:t>Margin pressure, demand impact</w:t>
            </w:r>
          </w:p>
        </w:tc>
      </w:tr>
      <w:tr>
        <w:tc>
          <w:tcPr>
            <w:tcW w:type="dxa" w:w="2880"/>
          </w:tcPr>
          <w:p>
            <w:r>
              <w:t>Tech Disruption</w:t>
            </w:r>
          </w:p>
        </w:tc>
        <w:tc>
          <w:tcPr>
            <w:tcW w:type="dxa" w:w="2880"/>
          </w:tcPr>
          <w:p>
            <w:r>
              <w:t>IT, fintech, e-commerce</w:t>
            </w:r>
          </w:p>
        </w:tc>
        <w:tc>
          <w:tcPr>
            <w:tcW w:type="dxa" w:w="2880"/>
          </w:tcPr>
          <w:p>
            <w:r>
              <w:t>Obsolescence, innovation lag</w:t>
            </w:r>
          </w:p>
        </w:tc>
      </w:tr>
    </w:tbl>
    <w:p>
      <w:r/>
    </w:p>
    <w:p>
      <w:r/>
      <w:r>
        <w:t>Each of these risks should be carefully weighed against sector growth prospects, company fundamentals, and the investor’s own risk tolerance and time horizon. Diversification, disciplined allocation, and ongoing monitoring are essential to mitigate these risks in a dynamic Indian market context.</w:t>
      </w:r>
      <w:r/>
    </w:p>
    <w:p>
      <w:pPr>
        <w:pStyle w:val="Heading2"/>
      </w:pPr>
      <w:r>
        <w:t>Conclusion</w:t>
      </w:r>
      <w:r/>
    </w:p>
    <w:p>
      <w:r/>
      <w:r>
        <w:t>The Indian stock market outlook and sectoral investment strategy for the 2025–2030 period offer a nuanced perspective on the opportunities and challenges facing investors. The analytical overview highlights the macroeconomic environment, market valuations, liquidity dynamics, and sectoral performance, emphasizing the importance of policy support and structural growth drivers. Sectoral opportunities in Information Technology, Green Energy, Financial Services, Infrastructure, and Healthcare present compelling prospects for long-term investors seeking exposure to high-growth areas. Investment strategies focusing on diversification, SIPs, fundamental analysis, valuation discipline, and monitoring policy developments are crucial for navigating market volatility and capitalizing on India's growth story. However, risks such as valuation froth, global macroeconomic uncertainties, earnings divergence, regulatory shifts, liquidity constraints, and behavioral biases underscore the need for a balanced and informed investment approach. By integrating ESG considerations, monitoring inflation and interest rate sensitivity, and staying abreast of technological disruptions, investors can position themselves to leverage sectoral growth while managing inherent risks in the evolving Indian market landscape.</w:t>
      </w:r>
      <w:r/>
    </w:p>
    <w:p>
      <w:pPr>
        <w:pStyle w:val="Heading2"/>
      </w:pPr>
      <w:r>
        <w:t>References</w:t>
      </w:r>
      <w:r/>
      <w:r/>
    </w:p>
    <w:p>
      <w:pPr>
        <w:pStyle w:val="ListBullet"/>
        <w:spacing w:line="240" w:lineRule="auto"/>
        <w:ind w:left="720"/>
      </w:pPr>
      <w:r/>
      <w:r>
        <w:t xml:space="preserve">Cafemutual, 2025 </w:t>
      </w:r>
      <w:hyperlink r:id="rId9">
        <w:r>
          <w:rPr>
            <w:color w:val="0000EE"/>
            <w:u w:val="single"/>
          </w:rPr>
          <w:t>source</w:t>
        </w:r>
      </w:hyperlink>
      <w:r/>
    </w:p>
    <w:p>
      <w:pPr>
        <w:pStyle w:val="ListBullet"/>
        <w:spacing w:line="240" w:lineRule="auto"/>
        <w:ind w:left="720"/>
      </w:pPr>
      <w:r/>
      <w:r>
        <w:t xml:space="preserve">Financial Express, 2025 </w:t>
      </w:r>
      <w:hyperlink r:id="rId12">
        <w:r>
          <w:rPr>
            <w:color w:val="0000EE"/>
            <w:u w:val="single"/>
          </w:rPr>
          <w:t>source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femutual.com/news/industry/34741-equity-outlook-may-2025" TargetMode="External"/><Relationship Id="rId10" Type="http://schemas.openxmlformats.org/officeDocument/2006/relationships/hyperlink" Target="https://aria.org.in/article/indian-equity-market-outlook-2025-a-comprehensive-forecast/" TargetMode="External"/><Relationship Id="rId11" Type="http://schemas.openxmlformats.org/officeDocument/2006/relationships/hyperlink" Target="https://www.riddhisiddhisharebrokers.com/indian-stock-market-outlook-2025" TargetMode="External"/><Relationship Id="rId12" Type="http://schemas.openxmlformats.org/officeDocument/2006/relationships/hyperlink" Target="https://www.financialexpress.com/market/stock-insights/will-this-old-adage-hold-true-for-the-indian-equity-market-in-may-2025/3836330/" TargetMode="External"/><Relationship Id="rId13" Type="http://schemas.openxmlformats.org/officeDocument/2006/relationships/hyperlink" Target="https://india-agent.com/top-performing-sectors-in-the-indian-stock-market-2025-outlook/" TargetMode="External"/><Relationship Id="rId14" Type="http://schemas.openxmlformats.org/officeDocument/2006/relationships/hyperlink" Target="https://jarvisinvest.com/jarvis-library/indias-fastest-growing-best-sectors-to-invest-in-2025/" TargetMode="External"/><Relationship Id="rId15" Type="http://schemas.openxmlformats.org/officeDocument/2006/relationships/hyperlink" Target="https://www.bain.com/insights/india-private-equity-report-2025/" TargetMode="External"/><Relationship Id="rId16" Type="http://schemas.openxmlformats.org/officeDocument/2006/relationships/hyperlink" Target="https://www.forbes.com/advisor/in/investing/stock-market-outlook/" TargetMode="External"/><Relationship Id="rId17" Type="http://schemas.openxmlformats.org/officeDocument/2006/relationships/hyperlink" Target="https://bytestack360.com/indian-stock-market-2025-outlook/" TargetMode="External"/><Relationship Id="rId18" Type="http://schemas.openxmlformats.org/officeDocument/2006/relationships/hyperlink" Target="https://www.livemint.com/market/stock-market-news/outlook-2025-indian-stock-market-to-stay-buoyant-in-2025-says-iti-mf-suggests-5-sectors-themes-to-bet-on-11734513720420.html" TargetMode="External"/><Relationship Id="rId19" Type="http://schemas.openxmlformats.org/officeDocument/2006/relationships/hyperlink" Target="https://appreciatewealth.com/blog/best-sectors-for-high-returns-in-india" TargetMode="External"/><Relationship Id="rId20" Type="http://schemas.openxmlformats.org/officeDocument/2006/relationships/hyperlink" Target="https://www.investindia.gov.in/team-india-blogs/key-investment-opportunities-india-2025" TargetMode="External"/><Relationship Id="rId21" Type="http://schemas.openxmlformats.org/officeDocument/2006/relationships/hyperlink" Target="https://www.stockdaddy.in/blog/top-10-sectors-in-indian-stock-market" TargetMode="External"/><Relationship Id="rId22" Type="http://schemas.openxmlformats.org/officeDocument/2006/relationships/hyperlink" Target="https://www.gripinvest.in/blog/fastest-growing-sectors-in-India" TargetMode="External"/><Relationship Id="rId23" Type="http://schemas.openxmlformats.org/officeDocument/2006/relationships/hyperlink" Target="https://www.mithiltech.com/2024/12/top-10-sectors-to-invest-in-for-2025-india.html" TargetMode="External"/><Relationship Id="rId24" Type="http://schemas.openxmlformats.org/officeDocument/2006/relationships/hyperlink" Target="https://www.equiruswealth.com/blog/india-in-2025-a-strategic-investment-perspective" TargetMode="External"/><Relationship Id="rId25" Type="http://schemas.openxmlformats.org/officeDocument/2006/relationships/hyperlink" Target="https://insider.finology.in/finance/sectors-to-watch-in-2025" TargetMode="External"/><Relationship Id="rId26" Type="http://schemas.openxmlformats.org/officeDocument/2006/relationships/hyperlink" Target="https://www.valueresearchonline.com/stories/222994/economic-survey-what-it-means-for-your-inves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