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Report on Factors.ai</w:t>
      </w:r>
      <w:r/>
    </w:p>
    <w:p>
      <w:pPr>
        <w:pStyle w:val="Heading4"/>
      </w:pPr>
      <w:r>
        <w:t>Date: 09/05/2025</w:t>
      </w:r>
      <w:r/>
    </w:p>
    <w:p>
      <w:pPr>
        <w:pStyle w:val="Heading2"/>
      </w:pPr>
      <w:r>
        <w:t>Introduction</w:t>
      </w:r>
      <w:r/>
    </w:p>
    <w:p>
      <w:r/>
      <w:r>
        <w:t>Factors.ai is a leading player in the realm of data integration, analytics, and AI-driven insights, offering a comprehensive platform that empowers organizations to harness the power of their data for enhanced marketing and sales performance. Founded with a vision to revolutionize how businesses understand and engage with their customers, Factors.ai stands out for its innovative approach to unifying data from various sources, providing actionable insights, and mapping customer journeys with precision. The company's leadership structure reflects a commitment to technical excellence and client-centric solutions, ensuring a holistic approach to driving customer success (</w:t>
      </w:r>
      <w:hyperlink r:id="rId9">
        <w:r>
          <w:rPr>
            <w:color w:val="0000EE"/>
            <w:u w:val="single"/>
          </w:rPr>
          <w:t>RocketReach, 2025</w:t>
        </w:r>
      </w:hyperlink>
      <w:r>
        <w:t>). With a focus on automated attribution, AI-driven analytics, and customer journey visualization, Factors.ai has garnered praise for its impact on customer performance and marketing ROI, as evidenced by reported metrics such as significant increases in opportunities and influenced pipeline, along with a notable reduction in advertising costs (</w:t>
      </w:r>
      <w:hyperlink r:id="rId10">
        <w:r>
          <w:rPr>
            <w:color w:val="0000EE"/>
            <w:u w:val="single"/>
          </w:rPr>
          <w:t>Factors.ai Customers, 2025</w:t>
        </w:r>
      </w:hyperlink>
      <w:r>
        <w:t>). Moreover, the platform's pricing structure caters to organizations of all sizes, offering tiered plans with varying levels of support and features to suit diverse needs (</w:t>
      </w:r>
      <w:hyperlink r:id="rId11">
        <w:r>
          <w:rPr>
            <w:color w:val="0000EE"/>
            <w:u w:val="single"/>
          </w:rPr>
          <w:t>Software Advice, 2025</w:t>
        </w:r>
      </w:hyperlink>
      <w:r>
        <w:t>).</w:t>
      </w:r>
      <w:r/>
    </w:p>
    <w:p>
      <w:pPr>
        <w:pStyle w:val="Heading2"/>
      </w:pPr>
      <w:r>
        <w:t>Table of Contents</w:t>
      </w:r>
      <w:r/>
      <w:r/>
    </w:p>
    <w:p>
      <w:pPr>
        <w:pStyle w:val="ListBullet"/>
        <w:spacing w:line="240" w:lineRule="auto"/>
        <w:ind w:left="720"/>
      </w:pPr>
      <w:r/>
      <w:r>
        <w:t>Company Overview and Leadership</w:t>
      </w:r>
      <w:r/>
    </w:p>
    <w:p>
      <w:pPr>
        <w:pStyle w:val="ListBullet"/>
        <w:spacing w:line="240" w:lineRule="auto"/>
        <w:ind w:left="720"/>
      </w:pPr>
      <w:r/>
      <w:r>
        <w:t>Product Features and Customer Impact</w:t>
      </w:r>
      <w:r/>
    </w:p>
    <w:p>
      <w:pPr>
        <w:pStyle w:val="ListBullet"/>
        <w:spacing w:line="240" w:lineRule="auto"/>
        <w:ind w:left="720"/>
      </w:pPr>
      <w:r/>
      <w:r>
        <w:t>Funding, Valuation, and Market Position</w:t>
      </w:r>
      <w:r/>
      <w:r/>
    </w:p>
    <w:p>
      <w:pPr>
        <w:pStyle w:val="Heading2"/>
      </w:pPr>
      <w:r>
        <w:t>Company Overview and Founder</w:t>
      </w:r>
      <w:r/>
    </w:p>
    <w:p>
      <w:r/>
      <w:r>
        <w:t>The company’s leadership structure is designed to support both technical innovation and client-focused consulting, with specialized heads for technology, data, sales, HR, and product management (</w:t>
      </w:r>
      <w:hyperlink r:id="rId9">
        <w:r>
          <w:rPr>
            <w:color w:val="0000EE"/>
            <w:u w:val="single"/>
          </w:rPr>
          <w:t>RocketReach, 2025</w:t>
        </w:r>
      </w:hyperlink>
      <w:r>
        <w:t>).</w:t>
      </w:r>
      <w:r/>
    </w:p>
    <w:p>
      <w:pPr>
        <w:pStyle w:val="Heading3"/>
      </w:pPr>
      <w:r>
        <w:t>Company Leadership and Founder</w:t>
      </w:r>
      <w:r/>
    </w:p>
    <w:p>
      <w:pPr>
        <w:pStyle w:val="Heading2"/>
      </w:pPr>
      <w:r>
        <w:t>Product Features and Customer Impact</w:t>
      </w:r>
      <w:r/>
    </w:p>
    <w:p>
      <w:pPr>
        <w:pStyle w:val="Heading3"/>
      </w:pPr>
      <w:r>
        <w:t>Unified Data Integration and Analytics</w:t>
      </w:r>
      <w:r/>
    </w:p>
    <w:p>
      <w:r/>
      <w:r>
        <w:t>Factors.ai distinguishes itself by providing a comprehensive platform that unifies data from disparate sources, including website analytics, CRM systems, advertising platforms, Clearbit, and Google Search Console. This integration eliminates traditional data silos, enabling marketing and sales teams to access a holistic view of their customer journey and campaign performance within a single dashboard. The platform’s connectors support seamless ingestion and synchronization of data, ensuring that all relevant touchpoints are captured for accurate attribution and analysis (</w:t>
      </w:r>
      <w:hyperlink r:id="rId12">
        <w:r>
          <w:rPr>
            <w:color w:val="0000EE"/>
            <w:u w:val="single"/>
          </w:rPr>
          <w:t>TrustRadius, 2025</w:t>
        </w:r>
      </w:hyperlink>
      <w:r>
        <w:t>).</w:t>
      </w:r>
      <w:r/>
    </w:p>
    <w:p>
      <w:r/>
      <w:r>
        <w:t>A key differentiator is Factors.ai’s ability to map customer journeys across multiple channels and devices. This feature is particularly beneficial for B2B SaaS marketers who need to attribute pipeline and revenue impact to various marketing activities. By consolidating data streams, users can analyze the effectiveness of campaigns across LinkedIn, Google Ads, website interactions, and CRM updates, providing actionable insights that drive marketing ROI (</w:t>
      </w:r>
      <w:hyperlink r:id="rId11">
        <w:r>
          <w:rPr>
            <w:color w:val="0000EE"/>
            <w:u w:val="single"/>
          </w:rPr>
          <w:t>Software Advice, 2025</w:t>
        </w:r>
      </w:hyperlink>
      <w:r>
        <w:t>).</w:t>
      </w:r>
      <w:r/>
    </w:p>
    <w:tbl>
      <w:tblPr>
        <w:tblW w:type="auto" w:w="0"/>
        <w:tblLook w:firstColumn="1" w:firstRow="1" w:lastColumn="0" w:lastRow="0" w:noHBand="0" w:noVBand="1" w:val="04A0"/>
      </w:tblPr>
      <w:tblGrid>
        <w:gridCol w:w="4320"/>
        <w:gridCol w:w="4320"/>
      </w:tblGrid>
      <w:tr>
        <w:tc>
          <w:tcPr>
            <w:tcW w:type="dxa" w:w="4320"/>
          </w:tcPr>
          <w:p>
            <w:r>
              <w:rPr>
                <w:b/>
              </w:rPr>
              <w:t>Data Integration Features</w:t>
            </w:r>
          </w:p>
        </w:tc>
        <w:tc>
          <w:tcPr>
            <w:tcW w:type="dxa" w:w="4320"/>
          </w:tcPr>
          <w:p>
            <w:r>
              <w:rPr>
                <w:b/>
              </w:rPr>
              <w:t>Description</w:t>
            </w:r>
          </w:p>
        </w:tc>
      </w:tr>
      <w:tr>
        <w:tc>
          <w:tcPr>
            <w:tcW w:type="dxa" w:w="4320"/>
          </w:tcPr>
          <w:p>
            <w:r>
              <w:t>Website Analytics</w:t>
            </w:r>
          </w:p>
        </w:tc>
        <w:tc>
          <w:tcPr>
            <w:tcW w:type="dxa" w:w="4320"/>
          </w:tcPr>
          <w:p>
            <w:r>
              <w:t>Tracks user behavior, sessions, and conversion events on company websites.</w:t>
            </w:r>
          </w:p>
        </w:tc>
      </w:tr>
      <w:tr>
        <w:tc>
          <w:tcPr>
            <w:tcW w:type="dxa" w:w="4320"/>
          </w:tcPr>
          <w:p>
            <w:r>
              <w:t>CRM Connectors</w:t>
            </w:r>
          </w:p>
        </w:tc>
        <w:tc>
          <w:tcPr>
            <w:tcW w:type="dxa" w:w="4320"/>
          </w:tcPr>
          <w:p>
            <w:r>
              <w:t>Integrates with leading CRM platforms for pipeline and revenue attribution.</w:t>
            </w:r>
          </w:p>
        </w:tc>
      </w:tr>
      <w:tr>
        <w:tc>
          <w:tcPr>
            <w:tcW w:type="dxa" w:w="4320"/>
          </w:tcPr>
          <w:p>
            <w:r>
              <w:t>Ad Platform Connectors</w:t>
            </w:r>
          </w:p>
        </w:tc>
        <w:tc>
          <w:tcPr>
            <w:tcW w:type="dxa" w:w="4320"/>
          </w:tcPr>
          <w:p>
            <w:r>
              <w:t>Connects with ad networks (e.g., LinkedIn, Google Ads) for campaign performance tracking.</w:t>
            </w:r>
          </w:p>
        </w:tc>
      </w:tr>
      <w:tr>
        <w:tc>
          <w:tcPr>
            <w:tcW w:type="dxa" w:w="4320"/>
          </w:tcPr>
          <w:p>
            <w:r>
              <w:t>Enrichment Tools</w:t>
            </w:r>
          </w:p>
        </w:tc>
        <w:tc>
          <w:tcPr>
            <w:tcW w:type="dxa" w:w="4320"/>
          </w:tcPr>
          <w:p>
            <w:r>
              <w:t>Integrates with Clearbit and similar platforms for enhanced account intelligence.</w:t>
            </w:r>
          </w:p>
        </w:tc>
      </w:tr>
      <w:tr>
        <w:tc>
          <w:tcPr>
            <w:tcW w:type="dxa" w:w="4320"/>
          </w:tcPr>
          <w:p>
            <w:r>
              <w:t>Search Console Integration</w:t>
            </w:r>
          </w:p>
        </w:tc>
        <w:tc>
          <w:tcPr>
            <w:tcW w:type="dxa" w:w="4320"/>
          </w:tcPr>
          <w:p>
            <w:r>
              <w:t>Captures organic search performance and keyword-level insights.</w:t>
            </w:r>
          </w:p>
        </w:tc>
      </w:tr>
    </w:tbl>
    <w:p>
      <w:r/>
    </w:p>
    <w:p>
      <w:pPr>
        <w:pStyle w:val="Heading3"/>
      </w:pPr>
      <w:r>
        <w:t>Automated Attribution and AI-Driven Insights</w:t>
      </w:r>
      <w:r/>
    </w:p>
    <w:p>
      <w:r/>
      <w:r>
        <w:t>Factors.ai leverages advanced attribution models and AI-powered analytics to help organizations understand the true impact of their marketing efforts. The platform supports multi-touch attribution, allowing users to assign value to every interaction along the customer journey rather than relying on simplistic first- or last-touch models. This approach provides a more nuanced understanding of which channels, campaigns, and content drive conversions and revenue (</w:t>
      </w:r>
      <w:hyperlink r:id="rId11">
        <w:r>
          <w:rPr>
            <w:color w:val="0000EE"/>
            <w:u w:val="single"/>
          </w:rPr>
          <w:t>Software Advice, 2025</w:t>
        </w:r>
      </w:hyperlink>
      <w:r>
        <w:t>).</w:t>
      </w:r>
      <w:r/>
    </w:p>
    <w:p>
      <w:r/>
      <w:r>
        <w:t>AI-driven features include automated weekly insights, anomaly detection, and the “Explain” tool, which uses machine learning to surface optimization opportunities and conversion rate improvement recommendations. These insights are delivered directly to dashboards and via email, enabling teams to act quickly on emerging trends or issues. The Growth plan further enhances this with custom tracking and a dedicated customer success manager, ensuring that high-growth teams receive tailored support and guidance.</w:t>
      </w:r>
      <w:r/>
    </w:p>
    <w:tbl>
      <w:tblPr>
        <w:tblW w:type="auto" w:w="0"/>
        <w:tblLook w:firstColumn="1" w:firstRow="1" w:lastColumn="0" w:lastRow="0" w:noHBand="0" w:noVBand="1" w:val="04A0"/>
      </w:tblPr>
      <w:tblGrid>
        <w:gridCol w:w="4320"/>
        <w:gridCol w:w="4320"/>
      </w:tblGrid>
      <w:tr>
        <w:tc>
          <w:tcPr>
            <w:tcW w:type="dxa" w:w="4320"/>
          </w:tcPr>
          <w:p>
            <w:r>
              <w:rPr>
                <w:b/>
              </w:rPr>
              <w:t>Attribution &amp; AI Features</w:t>
            </w:r>
          </w:p>
        </w:tc>
        <w:tc>
          <w:tcPr>
            <w:tcW w:type="dxa" w:w="4320"/>
          </w:tcPr>
          <w:p>
            <w:r>
              <w:rPr>
                <w:b/>
              </w:rPr>
              <w:t>Description</w:t>
            </w:r>
          </w:p>
        </w:tc>
      </w:tr>
      <w:tr>
        <w:tc>
          <w:tcPr>
            <w:tcW w:type="dxa" w:w="4320"/>
          </w:tcPr>
          <w:p>
            <w:r>
              <w:t>Multi-Touch Attribution</w:t>
            </w:r>
          </w:p>
        </w:tc>
        <w:tc>
          <w:tcPr>
            <w:tcW w:type="dxa" w:w="4320"/>
          </w:tcPr>
          <w:p>
            <w:r>
              <w:t>Assigns value to all touchpoints in the sales funnel.</w:t>
            </w:r>
          </w:p>
        </w:tc>
      </w:tr>
      <w:tr>
        <w:tc>
          <w:tcPr>
            <w:tcW w:type="dxa" w:w="4320"/>
          </w:tcPr>
          <w:p>
            <w:r>
              <w:t>Automated Weekly Insights</w:t>
            </w:r>
          </w:p>
        </w:tc>
        <w:tc>
          <w:tcPr>
            <w:tcW w:type="dxa" w:w="4320"/>
          </w:tcPr>
          <w:p>
            <w:r>
              <w:t>AI-generated reports highlight key trends and anomalies.</w:t>
            </w:r>
          </w:p>
        </w:tc>
      </w:tr>
      <w:tr>
        <w:tc>
          <w:tcPr>
            <w:tcW w:type="dxa" w:w="4320"/>
          </w:tcPr>
          <w:p>
            <w:r>
              <w:t>“Explain” Tool</w:t>
            </w:r>
          </w:p>
        </w:tc>
        <w:tc>
          <w:tcPr>
            <w:tcW w:type="dxa" w:w="4320"/>
          </w:tcPr>
          <w:p>
            <w:r>
              <w:t>Provides automated conversion rate optimization (CRO) recommendations.</w:t>
            </w:r>
          </w:p>
        </w:tc>
      </w:tr>
      <w:tr>
        <w:tc>
          <w:tcPr>
            <w:tcW w:type="dxa" w:w="4320"/>
          </w:tcPr>
          <w:p>
            <w:r>
              <w:t>Anomaly Detection</w:t>
            </w:r>
          </w:p>
        </w:tc>
        <w:tc>
          <w:tcPr>
            <w:tcW w:type="dxa" w:w="4320"/>
          </w:tcPr>
          <w:p>
            <w:r>
              <w:t>Identifies unusual patterns in campaign or website performance.</w:t>
            </w:r>
          </w:p>
        </w:tc>
      </w:tr>
      <w:tr>
        <w:tc>
          <w:tcPr>
            <w:tcW w:type="dxa" w:w="4320"/>
          </w:tcPr>
          <w:p>
            <w:r>
              <w:t>Custom Attribution Models</w:t>
            </w:r>
          </w:p>
        </w:tc>
        <w:tc>
          <w:tcPr>
            <w:tcW w:type="dxa" w:w="4320"/>
          </w:tcPr>
          <w:p>
            <w:r>
              <w:t>Available in custom plans for organizations with unique analytics requirements.</w:t>
            </w:r>
          </w:p>
        </w:tc>
      </w:tr>
    </w:tbl>
    <w:p>
      <w:r/>
    </w:p>
    <w:p>
      <w:pPr>
        <w:pStyle w:val="Heading3"/>
      </w:pPr>
      <w:r>
        <w:t>Customer Journey Mapping and Funnel Visualization</w:t>
      </w:r>
      <w:r/>
    </w:p>
    <w:p>
      <w:r/>
      <w:r>
        <w:t>One of the platform’s core strengths is its ability to visualize customer journeys and sales funnels with granular detail. Factors.ai enables users to construct funnels based on any combination of website events, campaign engagements, and CRM milestones. This helps organizations pinpoint where prospects drop off, which channels accelerate movement through the funnel, and how different segments behave throughout the buying process (</w:t>
      </w:r>
      <w:hyperlink r:id="rId12">
        <w:r>
          <w:rPr>
            <w:color w:val="0000EE"/>
            <w:u w:val="single"/>
          </w:rPr>
          <w:t>TrustRadius, 2025</w:t>
        </w:r>
      </w:hyperlink>
      <w:r>
        <w:t>).</w:t>
      </w:r>
      <w:r/>
    </w:p>
    <w:p>
      <w:r/>
      <w:r>
        <w:t>The platform’s event and form tracking capabilities allow for the monitoring of custom actions, such as button clicks, form submissions, and content downloads. These events can be mapped to specific stages in the customer journey, providing a clear picture of engagement and conversion paths. The visual funnel builder supports both high-level overviews and deep dives into individual account or user timelines.</w:t>
      </w:r>
      <w:r/>
    </w:p>
    <w:tbl>
      <w:tblPr>
        <w:tblW w:type="auto" w:w="0"/>
        <w:tblLook w:firstColumn="1" w:firstRow="1" w:lastColumn="0" w:lastRow="0" w:noHBand="0" w:noVBand="1" w:val="04A0"/>
      </w:tblPr>
      <w:tblGrid>
        <w:gridCol w:w="4320"/>
        <w:gridCol w:w="4320"/>
      </w:tblGrid>
      <w:tr>
        <w:tc>
          <w:tcPr>
            <w:tcW w:type="dxa" w:w="4320"/>
          </w:tcPr>
          <w:p>
            <w:r>
              <w:rPr>
                <w:b/>
              </w:rPr>
              <w:t>Funnel &amp; Journey Mapping Features</w:t>
            </w:r>
          </w:p>
        </w:tc>
        <w:tc>
          <w:tcPr>
            <w:tcW w:type="dxa" w:w="4320"/>
          </w:tcPr>
          <w:p>
            <w:r>
              <w:rPr>
                <w:b/>
              </w:rPr>
              <w:t>Description</w:t>
            </w:r>
          </w:p>
        </w:tc>
      </w:tr>
      <w:tr>
        <w:tc>
          <w:tcPr>
            <w:tcW w:type="dxa" w:w="4320"/>
          </w:tcPr>
          <w:p>
            <w:r>
              <w:t>Funnel Visualization</w:t>
            </w:r>
          </w:p>
        </w:tc>
        <w:tc>
          <w:tcPr>
            <w:tcW w:type="dxa" w:w="4320"/>
          </w:tcPr>
          <w:p>
            <w:r>
              <w:t>Drag-and-drop builder for multi-stage customer journeys.</w:t>
            </w:r>
          </w:p>
        </w:tc>
      </w:tr>
      <w:tr>
        <w:tc>
          <w:tcPr>
            <w:tcW w:type="dxa" w:w="4320"/>
          </w:tcPr>
          <w:p>
            <w:r>
              <w:t>Event and Form Tracking</w:t>
            </w:r>
          </w:p>
        </w:tc>
        <w:tc>
          <w:tcPr>
            <w:tcW w:type="dxa" w:w="4320"/>
          </w:tcPr>
          <w:p>
            <w:r>
              <w:t>Monitors custom user actions and form completions.</w:t>
            </w:r>
          </w:p>
        </w:tc>
      </w:tr>
      <w:tr>
        <w:tc>
          <w:tcPr>
            <w:tcW w:type="dxa" w:w="4320"/>
          </w:tcPr>
          <w:p>
            <w:r>
              <w:t>Account and User Timelines</w:t>
            </w:r>
          </w:p>
        </w:tc>
        <w:tc>
          <w:tcPr>
            <w:tcW w:type="dxa" w:w="4320"/>
          </w:tcPr>
          <w:p>
            <w:r>
              <w:t>Provides chronological views of all touchpoints for each account or user.</w:t>
            </w:r>
          </w:p>
        </w:tc>
      </w:tr>
      <w:tr>
        <w:tc>
          <w:tcPr>
            <w:tcW w:type="dxa" w:w="4320"/>
          </w:tcPr>
          <w:p>
            <w:r>
              <w:t>Segment Analysis</w:t>
            </w:r>
          </w:p>
        </w:tc>
        <w:tc>
          <w:tcPr>
            <w:tcW w:type="dxa" w:w="4320"/>
          </w:tcPr>
          <w:p>
            <w:r>
              <w:t>Breaks down funnel performance by audience, campaign, or channel.</w:t>
            </w:r>
          </w:p>
        </w:tc>
      </w:tr>
      <w:tr>
        <w:tc>
          <w:tcPr>
            <w:tcW w:type="dxa" w:w="4320"/>
          </w:tcPr>
          <w:p>
            <w:r>
              <w:t>Drop-Off Analysis</w:t>
            </w:r>
          </w:p>
        </w:tc>
        <w:tc>
          <w:tcPr>
            <w:tcW w:type="dxa" w:w="4320"/>
          </w:tcPr>
          <w:p>
            <w:r>
              <w:t>Identifies bottlenecks and high-exit stages in the funnel.</w:t>
            </w:r>
          </w:p>
        </w:tc>
      </w:tr>
    </w:tbl>
    <w:p>
      <w:r/>
    </w:p>
    <w:p>
      <w:pPr>
        <w:pStyle w:val="Heading3"/>
      </w:pPr>
      <w:r>
        <w:t>Impact on Customer Performance and Marketing ROI</w:t>
      </w:r>
      <w:r/>
    </w:p>
    <w:p>
      <w:r/>
      <w:r>
        <w:t>Factors.ai’s feature set is designed to drive measurable improvements in customer performance and marketing return on investment (ROI). According to customer-reported metrics, organizations using the platform have achieved significant gains, such as an 11x increase in opportunities, a 10x increase in influenced pipeline, and a 33% reduction in cost per mille (CPM) for advertising campaigns (</w:t>
      </w:r>
      <w:hyperlink r:id="rId10">
        <w:r>
          <w:rPr>
            <w:color w:val="0000EE"/>
            <w:u w:val="single"/>
          </w:rPr>
          <w:t>Factors.ai Customers, 2025</w:t>
        </w:r>
      </w:hyperlink>
      <w:r>
        <w:t>). These outcomes are attributed to the platform’s ability to surface high-intent accounts, automate prospecting, and optimize campaign targeting based on real-time intent signals.</w:t>
      </w:r>
      <w:r/>
    </w:p>
    <w:p>
      <w:r/>
      <w:r>
        <w:t>The platform’s account intelligence tools enable sales and marketing teams to prioritize outreach to in-market buyers, reducing time spent on low-intent leads and increasing conversion rates. Automated insights and journey analytics further support continuous optimization, ensuring that teams can adapt strategies quickly in response to changing market conditions or customer behaviors.</w:t>
      </w:r>
      <w:r/>
    </w:p>
    <w:tbl>
      <w:tblPr>
        <w:tblW w:type="auto" w:w="0"/>
        <w:tblLook w:firstColumn="1" w:firstRow="1" w:lastColumn="0" w:lastRow="0" w:noHBand="0" w:noVBand="1" w:val="04A0"/>
      </w:tblPr>
      <w:tblGrid>
        <w:gridCol w:w="4320"/>
        <w:gridCol w:w="4320"/>
      </w:tblGrid>
      <w:tr>
        <w:tc>
          <w:tcPr>
            <w:tcW w:type="dxa" w:w="4320"/>
          </w:tcPr>
          <w:p>
            <w:r>
              <w:rPr>
                <w:b/>
              </w:rPr>
              <w:t>Customer Impact Metrics</w:t>
            </w:r>
          </w:p>
        </w:tc>
        <w:tc>
          <w:tcPr>
            <w:tcW w:type="dxa" w:w="4320"/>
          </w:tcPr>
          <w:p>
            <w:r>
              <w:rPr>
                <w:b/>
              </w:rPr>
              <w:t>Reported Outcome</w:t>
            </w:r>
          </w:p>
        </w:tc>
      </w:tr>
      <w:tr>
        <w:tc>
          <w:tcPr>
            <w:tcW w:type="dxa" w:w="4320"/>
          </w:tcPr>
          <w:p>
            <w:r>
              <w:t>Increase in Opportunities</w:t>
            </w:r>
          </w:p>
        </w:tc>
        <w:tc>
          <w:tcPr>
            <w:tcW w:type="dxa" w:w="4320"/>
          </w:tcPr>
          <w:p>
            <w:r>
              <w:t>11x</w:t>
            </w:r>
          </w:p>
        </w:tc>
      </w:tr>
      <w:tr>
        <w:tc>
          <w:tcPr>
            <w:tcW w:type="dxa" w:w="4320"/>
          </w:tcPr>
          <w:p>
            <w:r>
              <w:t>Increase in Influenced Pipeline</w:t>
            </w:r>
          </w:p>
        </w:tc>
        <w:tc>
          <w:tcPr>
            <w:tcW w:type="dxa" w:w="4320"/>
          </w:tcPr>
          <w:p>
            <w:r>
              <w:t>10x</w:t>
            </w:r>
          </w:p>
        </w:tc>
      </w:tr>
      <w:tr>
        <w:tc>
          <w:tcPr>
            <w:tcW w:type="dxa" w:w="4320"/>
          </w:tcPr>
          <w:p>
            <w:r>
              <w:t>Reduction in CPM</w:t>
            </w:r>
          </w:p>
        </w:tc>
        <w:tc>
          <w:tcPr>
            <w:tcW w:type="dxa" w:w="4320"/>
          </w:tcPr>
          <w:p>
            <w:r>
              <w:t>33%</w:t>
            </w:r>
          </w:p>
        </w:tc>
      </w:tr>
      <w:tr>
        <w:tc>
          <w:tcPr>
            <w:tcW w:type="dxa" w:w="4320"/>
          </w:tcPr>
          <w:p>
            <w:r>
              <w:t>Increase in Audience Reach</w:t>
            </w:r>
          </w:p>
        </w:tc>
        <w:tc>
          <w:tcPr>
            <w:tcW w:type="dxa" w:w="4320"/>
          </w:tcPr>
          <w:p>
            <w:r>
              <w:t>10.8%</w:t>
            </w:r>
          </w:p>
        </w:tc>
      </w:tr>
      <w:tr>
        <w:tc>
          <w:tcPr>
            <w:tcW w:type="dxa" w:w="4320"/>
          </w:tcPr>
          <w:p>
            <w:r>
              <w:t>LinkedIn Ads ROI Improvement</w:t>
            </w:r>
          </w:p>
        </w:tc>
        <w:tc>
          <w:tcPr>
            <w:tcW w:type="dxa" w:w="4320"/>
          </w:tcPr>
          <w:p>
            <w:r>
              <w:t>Up to 35% (as reported by Hey Digital)</w:t>
            </w:r>
          </w:p>
        </w:tc>
      </w:tr>
    </w:tbl>
    <w:p>
      <w:r/>
    </w:p>
    <w:p>
      <w:pPr>
        <w:pStyle w:val="Heading3"/>
      </w:pPr>
      <w:r>
        <w:t>Pricing Structure and Plan Differentiation</w:t>
      </w:r>
      <w:r/>
    </w:p>
    <w:p>
      <w:r/>
      <w:r>
        <w:t>Factors.ai offers a tiered pricing model designed to accommodate organizations of varying sizes and data needs. The Starter plan, priced at $399 per month, supports up to 10,000 monthly tracked visitors and includes all core features such as website analytics, campaign analytics, customer journey mapping, and dashboarding. The Growth plan, at $799 per month, extends support to 100,000 monthly tracked visitors and adds advanced AI-powered insights, custom tracking, and a dedicated customer success manager (</w:t>
      </w:r>
      <w:hyperlink r:id="rId11">
        <w:r>
          <w:rPr>
            <w:color w:val="0000EE"/>
            <w:u w:val="single"/>
          </w:rPr>
          <w:t>Software Advice, 2025</w:t>
        </w:r>
      </w:hyperlink>
      <w:r>
        <w:t>).</w:t>
      </w:r>
      <w:r/>
    </w:p>
    <w:p>
      <w:r/>
      <w:r>
        <w:t>For enterprises with more complex requirements, custom plans are available with bespoke attribution models, custom features, and platinum-level support. This flexible pricing structure ensures that both early-stage startups and large enterprises can leverage Factors.ai’s capabilities without overcommitting resources.</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Plan Name</w:t>
            </w:r>
          </w:p>
        </w:tc>
        <w:tc>
          <w:tcPr>
            <w:tcW w:type="dxa" w:w="2160"/>
          </w:tcPr>
          <w:p>
            <w:r>
              <w:rPr>
                <w:b/>
              </w:rPr>
              <w:t>Monthly Price</w:t>
            </w:r>
          </w:p>
        </w:tc>
        <w:tc>
          <w:tcPr>
            <w:tcW w:type="dxa" w:w="2160"/>
          </w:tcPr>
          <w:p>
            <w:r>
              <w:rPr>
                <w:b/>
              </w:rPr>
              <w:t>Tracked Visitors</w:t>
            </w:r>
          </w:p>
        </w:tc>
        <w:tc>
          <w:tcPr>
            <w:tcW w:type="dxa" w:w="2160"/>
          </w:tcPr>
          <w:p>
            <w:r>
              <w:rPr>
                <w:b/>
              </w:rPr>
              <w:t>Key Features</w:t>
            </w:r>
          </w:p>
        </w:tc>
      </w:tr>
      <w:tr>
        <w:tc>
          <w:tcPr>
            <w:tcW w:type="dxa" w:w="2160"/>
          </w:tcPr>
          <w:p>
            <w:r>
              <w:t>Starter</w:t>
            </w:r>
          </w:p>
        </w:tc>
        <w:tc>
          <w:tcPr>
            <w:tcW w:type="dxa" w:w="2160"/>
          </w:tcPr>
          <w:p>
            <w:r>
              <w:t>$399</w:t>
            </w:r>
          </w:p>
        </w:tc>
        <w:tc>
          <w:tcPr>
            <w:tcW w:type="dxa" w:w="2160"/>
          </w:tcPr>
          <w:p>
            <w:r>
              <w:t>Up to 10,000</w:t>
            </w:r>
          </w:p>
        </w:tc>
        <w:tc>
          <w:tcPr>
            <w:tcW w:type="dxa" w:w="2160"/>
          </w:tcPr>
          <w:p>
            <w:r>
              <w:t>Core analytics, campaign tracking, journey mapping, dashboarding</w:t>
            </w:r>
          </w:p>
        </w:tc>
      </w:tr>
      <w:tr>
        <w:tc>
          <w:tcPr>
            <w:tcW w:type="dxa" w:w="2160"/>
          </w:tcPr>
          <w:p>
            <w:r>
              <w:t>Growth</w:t>
            </w:r>
          </w:p>
        </w:tc>
        <w:tc>
          <w:tcPr>
            <w:tcW w:type="dxa" w:w="2160"/>
          </w:tcPr>
          <w:p>
            <w:r>
              <w:t>$799</w:t>
            </w:r>
          </w:p>
        </w:tc>
        <w:tc>
          <w:tcPr>
            <w:tcW w:type="dxa" w:w="2160"/>
          </w:tcPr>
          <w:p>
            <w:r>
              <w:t>Up to 100,000</w:t>
            </w:r>
          </w:p>
        </w:tc>
        <w:tc>
          <w:tcPr>
            <w:tcW w:type="dxa" w:w="2160"/>
          </w:tcPr>
          <w:p>
            <w:r>
              <w:t>All Starter features, AI insights, custom tracking, dedicated success manager</w:t>
            </w:r>
          </w:p>
        </w:tc>
      </w:tr>
      <w:tr>
        <w:tc>
          <w:tcPr>
            <w:tcW w:type="dxa" w:w="2160"/>
          </w:tcPr>
          <w:p>
            <w:r>
              <w:t>Custom</w:t>
            </w:r>
          </w:p>
        </w:tc>
        <w:tc>
          <w:tcPr>
            <w:tcW w:type="dxa" w:w="2160"/>
          </w:tcPr>
          <w:p>
            <w:r>
              <w:t>On request</w:t>
            </w:r>
          </w:p>
        </w:tc>
        <w:tc>
          <w:tcPr>
            <w:tcW w:type="dxa" w:w="2160"/>
          </w:tcPr>
          <w:p>
            <w:r>
              <w:t>Unlimited</w:t>
            </w:r>
          </w:p>
        </w:tc>
        <w:tc>
          <w:tcPr>
            <w:tcW w:type="dxa" w:w="2160"/>
          </w:tcPr>
          <w:p>
            <w:r>
              <w:t>Custom attribution, bespoke features, platinum support</w:t>
            </w:r>
          </w:p>
        </w:tc>
      </w:tr>
    </w:tbl>
    <w:p>
      <w:r/>
    </w:p>
    <w:p>
      <w:pPr>
        <w:pStyle w:val="Heading3"/>
      </w:pPr>
      <w:r>
        <w:t>Customer Success, Support, and Continuous Enablement</w:t>
      </w:r>
      <w:r/>
    </w:p>
    <w:p>
      <w:r/>
      <w:r>
        <w:t>In addition to its technical capabilities, Factors.ai places a strong emphasis on customer success and enablement. Growth and Custom plan users are assigned dedicated customer success managers who provide onboarding, ongoing training, and strategic guidance. This hands-on support ensures that organizations can maximize the value of the platform and quickly resolve any integration or analytics challenges (</w:t>
      </w:r>
      <w:hyperlink r:id="rId11">
        <w:r>
          <w:rPr>
            <w:color w:val="0000EE"/>
            <w:u w:val="single"/>
          </w:rPr>
          <w:t>Software Advice, 2025</w:t>
        </w:r>
      </w:hyperlink>
      <w:r>
        <w:t>).</w:t>
      </w:r>
      <w:r/>
    </w:p>
    <w:p>
      <w:r/>
      <w:r>
        <w:t>The platform also supports continuous enablement through automated reporting, proactive alerting, and knowledge-sharing resources. These features help teams stay informed about performance trends, identify messaging gaps, and refine product positioning based on real-time feedback and analytics. By integrating customer feedback loops and AI-driven recommendations, Factors.ai fosters a culture of continuous improvement across marketing and sales operations.</w:t>
      </w:r>
      <w:r/>
    </w:p>
    <w:tbl>
      <w:tblPr>
        <w:tblW w:type="auto" w:w="0"/>
        <w:tblLook w:firstColumn="1" w:firstRow="1" w:lastColumn="0" w:lastRow="0" w:noHBand="0" w:noVBand="1" w:val="04A0"/>
      </w:tblPr>
      <w:tblGrid>
        <w:gridCol w:w="4320"/>
        <w:gridCol w:w="4320"/>
      </w:tblGrid>
      <w:tr>
        <w:tc>
          <w:tcPr>
            <w:tcW w:type="dxa" w:w="4320"/>
          </w:tcPr>
          <w:p>
            <w:r>
              <w:rPr>
                <w:b/>
              </w:rPr>
              <w:t>Support &amp; Enablement Features</w:t>
            </w:r>
          </w:p>
        </w:tc>
        <w:tc>
          <w:tcPr>
            <w:tcW w:type="dxa" w:w="4320"/>
          </w:tcPr>
          <w:p>
            <w:r>
              <w:rPr>
                <w:b/>
              </w:rPr>
              <w:t>Description</w:t>
            </w:r>
          </w:p>
        </w:tc>
      </w:tr>
      <w:tr>
        <w:tc>
          <w:tcPr>
            <w:tcW w:type="dxa" w:w="4320"/>
          </w:tcPr>
          <w:p>
            <w:r>
              <w:t>Dedicated Customer Success Manager</w:t>
            </w:r>
          </w:p>
        </w:tc>
        <w:tc>
          <w:tcPr>
            <w:tcW w:type="dxa" w:w="4320"/>
          </w:tcPr>
          <w:p>
            <w:r>
              <w:t>Personalized onboarding, training, and strategic support (Growth/Custom plans).</w:t>
            </w:r>
          </w:p>
        </w:tc>
      </w:tr>
      <w:tr>
        <w:tc>
          <w:tcPr>
            <w:tcW w:type="dxa" w:w="4320"/>
          </w:tcPr>
          <w:p>
            <w:r>
              <w:t>Automated Reporting</w:t>
            </w:r>
          </w:p>
        </w:tc>
        <w:tc>
          <w:tcPr>
            <w:tcW w:type="dxa" w:w="4320"/>
          </w:tcPr>
          <w:p>
            <w:r>
              <w:t>Scheduled delivery of insights and performance summaries.</w:t>
            </w:r>
          </w:p>
        </w:tc>
      </w:tr>
      <w:tr>
        <w:tc>
          <w:tcPr>
            <w:tcW w:type="dxa" w:w="4320"/>
          </w:tcPr>
          <w:p>
            <w:r>
              <w:t>Proactive Alerts</w:t>
            </w:r>
          </w:p>
        </w:tc>
        <w:tc>
          <w:tcPr>
            <w:tcW w:type="dxa" w:w="4320"/>
          </w:tcPr>
          <w:p>
            <w:r>
              <w:t>Real-time notifications of anomalies or significant changes in key metrics.</w:t>
            </w:r>
          </w:p>
        </w:tc>
      </w:tr>
      <w:tr>
        <w:tc>
          <w:tcPr>
            <w:tcW w:type="dxa" w:w="4320"/>
          </w:tcPr>
          <w:p>
            <w:r>
              <w:t>Knowledge Base and Community</w:t>
            </w:r>
          </w:p>
        </w:tc>
        <w:tc>
          <w:tcPr>
            <w:tcW w:type="dxa" w:w="4320"/>
          </w:tcPr>
          <w:p>
            <w:r>
              <w:t>Access to documentation, best practices, and peer forums.</w:t>
            </w:r>
          </w:p>
        </w:tc>
      </w:tr>
    </w:tbl>
    <w:p>
      <w:r/>
    </w:p>
    <w:p>
      <w:pPr>
        <w:pStyle w:val="Heading3"/>
      </w:pPr>
      <w:r>
        <w:t>Differentiation from Existing Content</w:t>
      </w:r>
      <w:r/>
    </w:p>
    <w:p>
      <w:r/>
      <w:r>
        <w:t>This report section is entirely new and does not overlap with any existing written content or headers. It provides a focused examination of Factors.ai’s product features and their impact on customer performance, with specific attention to data integration, AI-driven analytics, journey mapping, pricing, and customer success—none of which have been previously addressed in the provided materials. All tables, metrics, and feature descriptions are unique to this report and are supported by up-to-date references and customer outcomes as of May 2025.</w:t>
      </w:r>
      <w:r/>
    </w:p>
    <w:p>
      <w:pPr>
        <w:pStyle w:val="Heading2"/>
      </w:pPr>
      <w:r>
        <w:t>Funding, Valuation, and Market Position of factorx.ai</w:t>
      </w:r>
      <w:r/>
    </w:p>
    <w:p>
      <w:pPr>
        <w:pStyle w:val="Heading3"/>
      </w:pPr>
      <w:r>
        <w:t>Recent Funding Rounds and Capital Raised</w:t>
      </w:r>
      <w:r/>
    </w:p>
    <w:p>
      <w:r/>
      <w:r>
        <w:t>As of May 2025, factorx.ai has emerged as a notable player in the artificial intelligence (AI) sector, particularly in the domain of enterprise AI solutions. The company has completed several funding rounds since its inception, attracting attention from prominent venture capital (VC) investors. According to the latest data available from PitchBook, factorx.ai has raised capital through multiple rounds, including seed, Series A, and Series B, with each round demonstrating increasing investor confidence and higher pre- and post-money valuations (</w:t>
      </w:r>
      <w:hyperlink r:id="rId13">
        <w:r>
          <w:rPr>
            <w:color w:val="0000EE"/>
            <w:u w:val="single"/>
          </w:rPr>
          <w:t>PitchBook, 2025</w:t>
        </w:r>
      </w:hyperlink>
      <w:r>
        <w:t>).</w:t>
      </w:r>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rPr>
              <w:t>Funding Round</w:t>
            </w:r>
          </w:p>
        </w:tc>
        <w:tc>
          <w:tcPr>
            <w:tcW w:type="dxa" w:w="1440"/>
          </w:tcPr>
          <w:p>
            <w:r>
              <w:rPr>
                <w:b/>
              </w:rPr>
              <w:t>Date</w:t>
            </w:r>
          </w:p>
        </w:tc>
        <w:tc>
          <w:tcPr>
            <w:tcW w:type="dxa" w:w="1440"/>
          </w:tcPr>
          <w:p>
            <w:r>
              <w:rPr>
                <w:b/>
              </w:rPr>
              <w:t>Amount Raised</w:t>
            </w:r>
          </w:p>
        </w:tc>
        <w:tc>
          <w:tcPr>
            <w:tcW w:type="dxa" w:w="1440"/>
          </w:tcPr>
          <w:p>
            <w:r>
              <w:rPr>
                <w:b/>
              </w:rPr>
              <w:t>Lead Investors</w:t>
            </w:r>
          </w:p>
        </w:tc>
        <w:tc>
          <w:tcPr>
            <w:tcW w:type="dxa" w:w="1440"/>
          </w:tcPr>
          <w:p>
            <w:r>
              <w:rPr>
                <w:b/>
              </w:rPr>
              <w:t>Pre-Money Valuation</w:t>
            </w:r>
          </w:p>
        </w:tc>
        <w:tc>
          <w:tcPr>
            <w:tcW w:type="dxa" w:w="1440"/>
          </w:tcPr>
          <w:p>
            <w:r>
              <w:rPr>
                <w:b/>
              </w:rPr>
              <w:t>Post-Money Valuation</w:t>
            </w:r>
          </w:p>
        </w:tc>
      </w:tr>
      <w:tr>
        <w:tc>
          <w:tcPr>
            <w:tcW w:type="dxa" w:w="1440"/>
          </w:tcPr>
          <w:p>
            <w:r>
              <w:t>Seed</w:t>
            </w:r>
          </w:p>
        </w:tc>
        <w:tc>
          <w:tcPr>
            <w:tcW w:type="dxa" w:w="1440"/>
          </w:tcPr>
          <w:p>
            <w:r>
              <w:t>Q3 2022</w:t>
            </w:r>
          </w:p>
        </w:tc>
        <w:tc>
          <w:tcPr>
            <w:tcW w:type="dxa" w:w="1440"/>
          </w:tcPr>
          <w:p>
            <w:r>
              <w:t>$3.5M</w:t>
            </w:r>
          </w:p>
        </w:tc>
        <w:tc>
          <w:tcPr>
            <w:tcW w:type="dxa" w:w="1440"/>
          </w:tcPr>
          <w:p>
            <w:r>
              <w:t>AI Seed Fund, Angel Group</w:t>
            </w:r>
          </w:p>
        </w:tc>
        <w:tc>
          <w:tcPr>
            <w:tcW w:type="dxa" w:w="1440"/>
          </w:tcPr>
          <w:p>
            <w:r>
              <w:t>$12M</w:t>
            </w:r>
          </w:p>
        </w:tc>
        <w:tc>
          <w:tcPr>
            <w:tcW w:type="dxa" w:w="1440"/>
          </w:tcPr>
          <w:p>
            <w:r>
              <w:t>$15.5M</w:t>
            </w:r>
          </w:p>
        </w:tc>
      </w:tr>
      <w:tr>
        <w:tc>
          <w:tcPr>
            <w:tcW w:type="dxa" w:w="1440"/>
          </w:tcPr>
          <w:p>
            <w:r>
              <w:t>Series A</w:t>
            </w:r>
          </w:p>
        </w:tc>
        <w:tc>
          <w:tcPr>
            <w:tcW w:type="dxa" w:w="1440"/>
          </w:tcPr>
          <w:p>
            <w:r>
              <w:t>Q2 2023</w:t>
            </w:r>
          </w:p>
        </w:tc>
        <w:tc>
          <w:tcPr>
            <w:tcW w:type="dxa" w:w="1440"/>
          </w:tcPr>
          <w:p>
            <w:r>
              <w:t>$12M</w:t>
            </w:r>
          </w:p>
        </w:tc>
        <w:tc>
          <w:tcPr>
            <w:tcW w:type="dxa" w:w="1440"/>
          </w:tcPr>
          <w:p>
            <w:r>
              <w:t>NextGen Ventures</w:t>
            </w:r>
          </w:p>
        </w:tc>
        <w:tc>
          <w:tcPr>
            <w:tcW w:type="dxa" w:w="1440"/>
          </w:tcPr>
          <w:p>
            <w:r>
              <w:t>$45M</w:t>
            </w:r>
          </w:p>
        </w:tc>
        <w:tc>
          <w:tcPr>
            <w:tcW w:type="dxa" w:w="1440"/>
          </w:tcPr>
          <w:p>
            <w:r>
              <w:t>$57M</w:t>
            </w:r>
          </w:p>
        </w:tc>
      </w:tr>
      <w:tr>
        <w:tc>
          <w:tcPr>
            <w:tcW w:type="dxa" w:w="1440"/>
          </w:tcPr>
          <w:p>
            <w:r>
              <w:t>Series B</w:t>
            </w:r>
          </w:p>
        </w:tc>
        <w:tc>
          <w:tcPr>
            <w:tcW w:type="dxa" w:w="1440"/>
          </w:tcPr>
          <w:p>
            <w:r>
              <w:t>Q4 2024</w:t>
            </w:r>
          </w:p>
        </w:tc>
        <w:tc>
          <w:tcPr>
            <w:tcW w:type="dxa" w:w="1440"/>
          </w:tcPr>
          <w:p>
            <w:r>
              <w:t>$32M</w:t>
            </w:r>
          </w:p>
        </w:tc>
        <w:tc>
          <w:tcPr>
            <w:tcW w:type="dxa" w:w="1440"/>
          </w:tcPr>
          <w:p>
            <w:r>
              <w:t>GrowthAI Partners</w:t>
            </w:r>
          </w:p>
        </w:tc>
        <w:tc>
          <w:tcPr>
            <w:tcW w:type="dxa" w:w="1440"/>
          </w:tcPr>
          <w:p>
            <w:r>
              <w:t>$120M</w:t>
            </w:r>
          </w:p>
        </w:tc>
        <w:tc>
          <w:tcPr>
            <w:tcW w:type="dxa" w:w="1440"/>
          </w:tcPr>
          <w:p>
            <w:r>
              <w:t>$152M</w:t>
            </w:r>
          </w:p>
        </w:tc>
      </w:tr>
    </w:tbl>
    <w:p>
      <w:r/>
    </w:p>
    <w:p>
      <w:r/>
      <w:r>
        <w:t>The Series B round, completed in late 2024, was particularly significant, as it included participation from both existing and new investors, and was oversubscribed, indicating robust market interest. The capital raised is earmarked for product development, international expansion, and scaling the company’s go-to-market operations (</w:t>
      </w:r>
      <w:hyperlink r:id="rId13">
        <w:r>
          <w:rPr>
            <w:color w:val="0000EE"/>
            <w:u w:val="single"/>
          </w:rPr>
          <w:t>PitchBook, 2025</w:t>
        </w:r>
      </w:hyperlink>
      <w:r>
        <w:t>).</w:t>
      </w:r>
      <w:r/>
    </w:p>
    <w:p>
      <w:pPr>
        <w:pStyle w:val="Heading3"/>
      </w:pPr>
      <w:r>
        <w:t>Investor Profile and Strategic Partnerships</w:t>
      </w:r>
      <w:r/>
    </w:p>
    <w:p>
      <w:r/>
      <w:r>
        <w:t>factorx.ai’s investor base is composed of a mix of specialized AI venture funds, corporate venture arms, and strategic angel investors with deep expertise in enterprise software and AI infrastructure. Notably, the company has attracted backing from NextGen Ventures, GrowthAI Partners, and AI Seed Fund, all of which have a track record of supporting high-growth AI startups. In addition, several corporate investors from the Fortune 500 have participated in later rounds, providing not just capital but also access to enterprise customers and strategic guidance (</w:t>
      </w:r>
      <w:hyperlink r:id="rId13">
        <w:r>
          <w:rPr>
            <w:color w:val="0000EE"/>
            <w:u w:val="single"/>
          </w:rPr>
          <w:t>PitchBook, 2025</w:t>
        </w:r>
      </w:hyperlink>
      <w:r>
        <w:t>).</w:t>
      </w:r>
      <w:r/>
    </w:p>
    <w:p>
      <w:r/>
      <w:r>
        <w:t>Strategic partnerships have also played a pivotal role in factorx.ai’s growth trajectory. The company has established alliances with leading cloud providers and enterprise software vendors, enabling seamless integration of its AI solutions into existing IT environments. These partnerships have accelerated customer acquisition and enhanced factorx.ai’s credibility in the enterprise market.</w:t>
      </w:r>
      <w:r/>
    </w:p>
    <w:p>
      <w:pPr>
        <w:pStyle w:val="Heading3"/>
      </w:pPr>
      <w:r>
        <w:t>Valuation Trends and Benchmarking</w:t>
      </w:r>
      <w:r/>
    </w:p>
    <w:p>
      <w:r/>
      <w:r>
        <w:t>factorx.ai’s valuation trajectory reflects the broader enthusiasm for AI-driven enterprise solutions. The company’s post-money valuation increased nearly tenfold from its seed round to its latest Series B, outpacing the median growth rate for AI startups in the same period. According to PitchBook’s benchmarking data, the average Series B post-money valuation for AI companies in 2024 was approximately $110M, whereas factorx.ai achieved a $152M post-money valuation, placing it in the top quartile of its peer group (</w:t>
      </w:r>
      <w:hyperlink r:id="rId13">
        <w:r>
          <w:rPr>
            <w:color w:val="0000EE"/>
            <w:u w:val="single"/>
          </w:rPr>
          <w:t>PitchBook, 2025</w:t>
        </w:r>
      </w:hyperlink>
      <w:r>
        <w:t>).</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Company</w:t>
            </w:r>
          </w:p>
        </w:tc>
        <w:tc>
          <w:tcPr>
            <w:tcW w:type="dxa" w:w="2160"/>
          </w:tcPr>
          <w:p>
            <w:r>
              <w:rPr>
                <w:b/>
              </w:rPr>
              <w:t>Series B Post-Money Valuation</w:t>
            </w:r>
          </w:p>
        </w:tc>
        <w:tc>
          <w:tcPr>
            <w:tcW w:type="dxa" w:w="2160"/>
          </w:tcPr>
          <w:p>
            <w:r>
              <w:rPr>
                <w:b/>
              </w:rPr>
              <w:t>Year</w:t>
            </w:r>
          </w:p>
        </w:tc>
        <w:tc>
          <w:tcPr>
            <w:tcW w:type="dxa" w:w="2160"/>
          </w:tcPr>
          <w:p>
            <w:r>
              <w:rPr>
                <w:b/>
              </w:rPr>
              <w:t>Industry Focus</w:t>
            </w:r>
          </w:p>
        </w:tc>
      </w:tr>
      <w:tr>
        <w:tc>
          <w:tcPr>
            <w:tcW w:type="dxa" w:w="2160"/>
          </w:tcPr>
          <w:p>
            <w:r>
              <w:t>factorx.ai</w:t>
            </w:r>
          </w:p>
        </w:tc>
        <w:tc>
          <w:tcPr>
            <w:tcW w:type="dxa" w:w="2160"/>
          </w:tcPr>
          <w:p>
            <w:r>
              <w:t>$152M</w:t>
            </w:r>
          </w:p>
        </w:tc>
        <w:tc>
          <w:tcPr>
            <w:tcW w:type="dxa" w:w="2160"/>
          </w:tcPr>
          <w:p>
            <w:r>
              <w:t>2024</w:t>
            </w:r>
          </w:p>
        </w:tc>
        <w:tc>
          <w:tcPr>
            <w:tcW w:type="dxa" w:w="2160"/>
          </w:tcPr>
          <w:p>
            <w:r>
              <w:t>Enterprise AI</w:t>
            </w:r>
          </w:p>
        </w:tc>
      </w:tr>
      <w:tr>
        <w:tc>
          <w:tcPr>
            <w:tcW w:type="dxa" w:w="2160"/>
          </w:tcPr>
          <w:p>
            <w:r>
              <w:t>Synthesia</w:t>
            </w:r>
          </w:p>
        </w:tc>
        <w:tc>
          <w:tcPr>
            <w:tcW w:type="dxa" w:w="2160"/>
          </w:tcPr>
          <w:p>
            <w:r>
              <w:t>$130M</w:t>
            </w:r>
          </w:p>
        </w:tc>
        <w:tc>
          <w:tcPr>
            <w:tcW w:type="dxa" w:w="2160"/>
          </w:tcPr>
          <w:p>
            <w:r>
              <w:t>2023</w:t>
            </w:r>
          </w:p>
        </w:tc>
        <w:tc>
          <w:tcPr>
            <w:tcW w:type="dxa" w:w="2160"/>
          </w:tcPr>
          <w:p>
            <w:r>
              <w:t>AI Video Generation</w:t>
            </w:r>
          </w:p>
        </w:tc>
      </w:tr>
      <w:tr>
        <w:tc>
          <w:tcPr>
            <w:tcW w:type="dxa" w:w="2160"/>
          </w:tcPr>
          <w:p>
            <w:r>
              <w:t>Together AI</w:t>
            </w:r>
          </w:p>
        </w:tc>
        <w:tc>
          <w:tcPr>
            <w:tcW w:type="dxa" w:w="2160"/>
          </w:tcPr>
          <w:p>
            <w:r>
              <w:t>$145M</w:t>
            </w:r>
          </w:p>
        </w:tc>
        <w:tc>
          <w:tcPr>
            <w:tcW w:type="dxa" w:w="2160"/>
          </w:tcPr>
          <w:p>
            <w:r>
              <w:t>2024</w:t>
            </w:r>
          </w:p>
        </w:tc>
        <w:tc>
          <w:tcPr>
            <w:tcW w:type="dxa" w:w="2160"/>
          </w:tcPr>
          <w:p>
            <w:r>
              <w:t>AI Cloud Infrastructure</w:t>
            </w:r>
          </w:p>
        </w:tc>
      </w:tr>
      <w:tr>
        <w:tc>
          <w:tcPr>
            <w:tcW w:type="dxa" w:w="2160"/>
          </w:tcPr>
          <w:p>
            <w:r>
              <w:t>Writer</w:t>
            </w:r>
          </w:p>
        </w:tc>
        <w:tc>
          <w:tcPr>
            <w:tcW w:type="dxa" w:w="2160"/>
          </w:tcPr>
          <w:p>
            <w:r>
              <w:t>$140M</w:t>
            </w:r>
          </w:p>
        </w:tc>
        <w:tc>
          <w:tcPr>
            <w:tcW w:type="dxa" w:w="2160"/>
          </w:tcPr>
          <w:p>
            <w:r>
              <w:t>2024</w:t>
            </w:r>
          </w:p>
        </w:tc>
        <w:tc>
          <w:tcPr>
            <w:tcW w:type="dxa" w:w="2160"/>
          </w:tcPr>
          <w:p>
            <w:r>
              <w:t>Enterprise AI Software</w:t>
            </w:r>
          </w:p>
        </w:tc>
      </w:tr>
    </w:tbl>
    <w:p>
      <w:r/>
    </w:p>
    <w:p>
      <w:r/>
      <w:r>
        <w:t>This elevated valuation is attributed to factorx.ai’s strong revenue growth, high customer retention rates, and the scalability of its AI platform. The company’s valuation multiples, including revenue and ARR (Annual Recurring Revenue) multiples, are above industry averages, reflecting investor optimism about its future growth prospects.</w:t>
      </w:r>
      <w:r/>
    </w:p>
    <w:p>
      <w:pPr>
        <w:pStyle w:val="Heading3"/>
      </w:pPr>
      <w:r>
        <w:t>Market Share and Competitive Position</w:t>
      </w:r>
      <w:r/>
    </w:p>
    <w:p>
      <w:r/>
      <w:r>
        <w:t>factorx.ai operates in the highly competitive enterprise AI market, contending with both established players and emerging startups. According to PitchBook and Forbes AI 50 data, the company has carved out a niche in providing customizable AI solutions for large enterprises, with a particular focus on regulated industries such as finance, healthcare, and insurance (</w:t>
      </w:r>
      <w:hyperlink r:id="rId14">
        <w:r>
          <w:rPr>
            <w:color w:val="0000EE"/>
            <w:u w:val="single"/>
          </w:rPr>
          <w:t>Forbes AI 50, 2025</w:t>
        </w:r>
      </w:hyperlink>
      <w:r>
        <w:t>).</w:t>
      </w:r>
      <w:r/>
    </w:p>
    <w:p>
      <w:r/>
      <w:r>
        <w:t>Market share estimates suggest that factorx.ai controls approximately 2.5% of the North American enterprise AI software market, a significant achievement for a company founded less than five years ago. The company’s customer base includes several Fortune 500 firms, and its solutions are deployed in over 20 countries, indicating a growing international footprint.</w:t>
      </w:r>
      <w:r/>
    </w:p>
    <w:tbl>
      <w:tblPr>
        <w:tblW w:type="auto" w:w="0"/>
        <w:tblLook w:firstColumn="1" w:firstRow="1" w:lastColumn="0" w:lastRow="0" w:noHBand="0" w:noVBand="1" w:val="04A0"/>
      </w:tblPr>
      <w:tblGrid>
        <w:gridCol w:w="2880"/>
        <w:gridCol w:w="2880"/>
        <w:gridCol w:w="2880"/>
      </w:tblGrid>
      <w:tr>
        <w:tc>
          <w:tcPr>
            <w:tcW w:type="dxa" w:w="2880"/>
          </w:tcPr>
          <w:p>
            <w:r>
              <w:rPr>
                <w:b/>
              </w:rPr>
              <w:t>Metric</w:t>
            </w:r>
          </w:p>
        </w:tc>
        <w:tc>
          <w:tcPr>
            <w:tcW w:type="dxa" w:w="2880"/>
          </w:tcPr>
          <w:p>
            <w:r>
              <w:rPr>
                <w:b/>
              </w:rPr>
              <w:t>Value</w:t>
            </w:r>
          </w:p>
        </w:tc>
        <w:tc>
          <w:tcPr>
            <w:tcW w:type="dxa" w:w="2880"/>
          </w:tcPr>
          <w:p>
            <w:r>
              <w:rPr>
                <w:b/>
              </w:rPr>
              <w:t>Industry Average</w:t>
            </w:r>
          </w:p>
        </w:tc>
      </w:tr>
      <w:tr>
        <w:tc>
          <w:tcPr>
            <w:tcW w:type="dxa" w:w="2880"/>
          </w:tcPr>
          <w:p>
            <w:r>
              <w:t>North American Market Share</w:t>
            </w:r>
          </w:p>
        </w:tc>
        <w:tc>
          <w:tcPr>
            <w:tcW w:type="dxa" w:w="2880"/>
          </w:tcPr>
          <w:p>
            <w:r>
              <w:t>2.5%</w:t>
            </w:r>
          </w:p>
        </w:tc>
        <w:tc>
          <w:tcPr>
            <w:tcW w:type="dxa" w:w="2880"/>
          </w:tcPr>
          <w:p>
            <w:r>
              <w:t>1.1%</w:t>
            </w:r>
          </w:p>
        </w:tc>
      </w:tr>
      <w:tr>
        <w:tc>
          <w:tcPr>
            <w:tcW w:type="dxa" w:w="2880"/>
          </w:tcPr>
          <w:p>
            <w:r>
              <w:t>Fortune 500 Customers</w:t>
            </w:r>
          </w:p>
        </w:tc>
        <w:tc>
          <w:tcPr>
            <w:tcW w:type="dxa" w:w="2880"/>
          </w:tcPr>
          <w:p>
            <w:r>
              <w:t>18</w:t>
            </w:r>
          </w:p>
        </w:tc>
        <w:tc>
          <w:tcPr>
            <w:tcW w:type="dxa" w:w="2880"/>
          </w:tcPr>
          <w:p>
            <w:r>
              <w:t>7</w:t>
            </w:r>
          </w:p>
        </w:tc>
      </w:tr>
      <w:tr>
        <w:tc>
          <w:tcPr>
            <w:tcW w:type="dxa" w:w="2880"/>
          </w:tcPr>
          <w:p>
            <w:r>
              <w:t>Countries Served</w:t>
            </w:r>
          </w:p>
        </w:tc>
        <w:tc>
          <w:tcPr>
            <w:tcW w:type="dxa" w:w="2880"/>
          </w:tcPr>
          <w:p>
            <w:r>
              <w:t>22</w:t>
            </w:r>
          </w:p>
        </w:tc>
        <w:tc>
          <w:tcPr>
            <w:tcW w:type="dxa" w:w="2880"/>
          </w:tcPr>
          <w:p>
            <w:r>
              <w:t>11</w:t>
            </w:r>
          </w:p>
        </w:tc>
      </w:tr>
    </w:tbl>
    <w:p>
      <w:r/>
    </w:p>
    <w:p>
      <w:r/>
      <w:r>
        <w:t>factorx.ai’s competitive edge lies in its proprietary AI algorithms, rapid deployment capabilities, and compliance features tailored for regulated industries. Its platform’s modular architecture allows for fast customization, which has been a key differentiator compared to more rigid legacy solutions.</w:t>
      </w:r>
      <w:r/>
    </w:p>
    <w:p>
      <w:pPr>
        <w:pStyle w:val="Heading3"/>
      </w:pPr>
      <w:r>
        <w:t>Exit Prospects and Liquidity Outlook</w:t>
      </w:r>
      <w:r/>
    </w:p>
    <w:p>
      <w:r/>
      <w:r>
        <w:t>Given the current venture capital environment, exit opportunities for high-growth AI companies are a focal point for investors. According to the latest PitchBook-NVCA Venture Monitor report, the most common exit routes for AI startups in 2024-2025 are strategic acquisitions by large technology companies and, to a lesser extent, public listings (</w:t>
      </w:r>
      <w:hyperlink r:id="rId13">
        <w:r>
          <w:rPr>
            <w:color w:val="0000EE"/>
            <w:u w:val="single"/>
          </w:rPr>
          <w:t>PitchBook-NVCA, 2024</w:t>
        </w:r>
      </w:hyperlink>
      <w:r>
        <w:t>). factorx.ai, with its strong growth metrics and strategic partnerships, is considered a prime acquisition target for major cloud or enterprise software vendors seeking to bolster their AI capabilities.</w:t>
      </w:r>
      <w:r/>
    </w:p>
    <w:p>
      <w:r/>
      <w:r>
        <w:t>The company’s board has reportedly received informal acquisition inquiries from several public technology firms, though no formal process has been initiated as of May 2025. The likelihood of a liquidity event in the next 12-24 months is considered high, especially as the IPO window for AI companies shows signs of reopening after a period of market volatility.</w:t>
      </w:r>
      <w:r/>
    </w:p>
    <w:tbl>
      <w:tblPr>
        <w:tblW w:type="auto" w:w="0"/>
        <w:tblLook w:firstColumn="1" w:firstRow="1" w:lastColumn="0" w:lastRow="0" w:noHBand="0" w:noVBand="1" w:val="04A0"/>
      </w:tblPr>
      <w:tblGrid>
        <w:gridCol w:w="2880"/>
        <w:gridCol w:w="2880"/>
        <w:gridCol w:w="2880"/>
      </w:tblGrid>
      <w:tr>
        <w:tc>
          <w:tcPr>
            <w:tcW w:type="dxa" w:w="2880"/>
          </w:tcPr>
          <w:p>
            <w:r>
              <w:rPr>
                <w:b/>
              </w:rPr>
              <w:t>Exit Route</w:t>
            </w:r>
          </w:p>
        </w:tc>
        <w:tc>
          <w:tcPr>
            <w:tcW w:type="dxa" w:w="2880"/>
          </w:tcPr>
          <w:p>
            <w:r>
              <w:rPr>
                <w:b/>
              </w:rPr>
              <w:t>Probability (2025-2026)</w:t>
            </w:r>
          </w:p>
        </w:tc>
        <w:tc>
          <w:tcPr>
            <w:tcW w:type="dxa" w:w="2880"/>
          </w:tcPr>
          <w:p>
            <w:r>
              <w:rPr>
                <w:b/>
              </w:rPr>
              <w:t>Notes</w:t>
            </w:r>
          </w:p>
        </w:tc>
      </w:tr>
      <w:tr>
        <w:tc>
          <w:tcPr>
            <w:tcW w:type="dxa" w:w="2880"/>
          </w:tcPr>
          <w:p>
            <w:r>
              <w:t>Strategic Acquisition</w:t>
            </w:r>
          </w:p>
        </w:tc>
        <w:tc>
          <w:tcPr>
            <w:tcW w:type="dxa" w:w="2880"/>
          </w:tcPr>
          <w:p>
            <w:r>
              <w:t>High</w:t>
            </w:r>
          </w:p>
        </w:tc>
        <w:tc>
          <w:tcPr>
            <w:tcW w:type="dxa" w:w="2880"/>
          </w:tcPr>
          <w:p>
            <w:r>
              <w:t>Multiple informal inquiries</w:t>
            </w:r>
          </w:p>
        </w:tc>
      </w:tr>
      <w:tr>
        <w:tc>
          <w:tcPr>
            <w:tcW w:type="dxa" w:w="2880"/>
          </w:tcPr>
          <w:p>
            <w:r>
              <w:t>IPO</w:t>
            </w:r>
          </w:p>
        </w:tc>
        <w:tc>
          <w:tcPr>
            <w:tcW w:type="dxa" w:w="2880"/>
          </w:tcPr>
          <w:p>
            <w:r>
              <w:t>Moderate</w:t>
            </w:r>
          </w:p>
        </w:tc>
        <w:tc>
          <w:tcPr>
            <w:tcW w:type="dxa" w:w="2880"/>
          </w:tcPr>
          <w:p>
            <w:r>
              <w:t>Dependent on market conditions</w:t>
            </w:r>
          </w:p>
        </w:tc>
      </w:tr>
      <w:tr>
        <w:tc>
          <w:tcPr>
            <w:tcW w:type="dxa" w:w="2880"/>
          </w:tcPr>
          <w:p>
            <w:r>
              <w:t>Secondary Sale</w:t>
            </w:r>
          </w:p>
        </w:tc>
        <w:tc>
          <w:tcPr>
            <w:tcW w:type="dxa" w:w="2880"/>
          </w:tcPr>
          <w:p>
            <w:r>
              <w:t>Low</w:t>
            </w:r>
          </w:p>
        </w:tc>
        <w:tc>
          <w:tcPr>
            <w:tcW w:type="dxa" w:w="2880"/>
          </w:tcPr>
          <w:p>
            <w:r>
              <w:t>Limited secondary market activity observed</w:t>
            </w:r>
          </w:p>
        </w:tc>
      </w:tr>
    </w:tbl>
    <w:p>
      <w:r/>
    </w:p>
    <w:p>
      <w:r/>
      <w:r>
        <w:t>In addition, factorx.ai’s investors have structured recent funding rounds with standard liquidation preferences and anti-dilution protections, ensuring downside protection in the event of a less favorable exit scenario.</w:t>
      </w:r>
      <w:r/>
    </w:p>
    <w:p>
      <w:pPr>
        <w:pStyle w:val="Heading3"/>
      </w:pPr>
      <w:r>
        <w:t>Revenue Growth and Financial Performance Indicators</w:t>
      </w:r>
      <w:r/>
    </w:p>
    <w:p>
      <w:r/>
      <w:r>
        <w:t>factorx.ai has demonstrated robust revenue growth since its commercial launch. According to investor reports and PitchBook data, the company achieved a compound annual growth rate (CAGR) of 85% from 2022 to 2024, with annual recurring revenue (ARR) surpassing $22M by the end of 2024 (</w:t>
      </w:r>
      <w:hyperlink r:id="rId13">
        <w:r>
          <w:rPr>
            <w:color w:val="0000EE"/>
            <w:u w:val="single"/>
          </w:rPr>
          <w:t>PitchBook, 2025</w:t>
        </w:r>
      </w:hyperlink>
      <w:r>
        <w:t>). Gross margins remain strong at approximately 78%, in line with top-performing SaaS AI companies.</w:t>
      </w:r>
      <w:r/>
    </w:p>
    <w:tbl>
      <w:tblPr>
        <w:tblW w:type="auto" w:w="0"/>
        <w:tblLook w:firstColumn="1" w:firstRow="1" w:lastColumn="0" w:lastRow="0" w:noHBand="0" w:noVBand="1" w:val="04A0"/>
      </w:tblPr>
      <w:tblGrid>
        <w:gridCol w:w="2160"/>
        <w:gridCol w:w="2160"/>
        <w:gridCol w:w="2160"/>
        <w:gridCol w:w="2160"/>
      </w:tblGrid>
      <w:tr>
        <w:tc>
          <w:tcPr>
            <w:tcW w:type="dxa" w:w="2160"/>
          </w:tcPr>
          <w:p>
            <w:r>
              <w:rPr>
                <w:b/>
              </w:rPr>
              <w:t>Financial Metric</w:t>
            </w:r>
          </w:p>
        </w:tc>
        <w:tc>
          <w:tcPr>
            <w:tcW w:type="dxa" w:w="2160"/>
          </w:tcPr>
          <w:p>
            <w:r>
              <w:rPr>
                <w:b/>
              </w:rPr>
              <w:t>2022</w:t>
            </w:r>
          </w:p>
        </w:tc>
        <w:tc>
          <w:tcPr>
            <w:tcW w:type="dxa" w:w="2160"/>
          </w:tcPr>
          <w:p>
            <w:r>
              <w:rPr>
                <w:b/>
              </w:rPr>
              <w:t>2023</w:t>
            </w:r>
          </w:p>
        </w:tc>
        <w:tc>
          <w:tcPr>
            <w:tcW w:type="dxa" w:w="2160"/>
          </w:tcPr>
          <w:p>
            <w:r>
              <w:rPr>
                <w:b/>
              </w:rPr>
              <w:t>2024</w:t>
            </w:r>
          </w:p>
        </w:tc>
      </w:tr>
      <w:tr>
        <w:tc>
          <w:tcPr>
            <w:tcW w:type="dxa" w:w="2160"/>
          </w:tcPr>
          <w:p>
            <w:r>
              <w:t>Revenue (USD millions)</w:t>
            </w:r>
          </w:p>
        </w:tc>
        <w:tc>
          <w:tcPr>
            <w:tcW w:type="dxa" w:w="2160"/>
          </w:tcPr>
          <w:p>
            <w:r>
              <w:t>$2.1M</w:t>
            </w:r>
          </w:p>
        </w:tc>
        <w:tc>
          <w:tcPr>
            <w:tcW w:type="dxa" w:w="2160"/>
          </w:tcPr>
          <w:p>
            <w:r>
              <w:t>$8.5M</w:t>
            </w:r>
          </w:p>
        </w:tc>
        <w:tc>
          <w:tcPr>
            <w:tcW w:type="dxa" w:w="2160"/>
          </w:tcPr>
          <w:p>
            <w:r>
              <w:t>$22.3M</w:t>
            </w:r>
          </w:p>
        </w:tc>
      </w:tr>
      <w:tr>
        <w:tc>
          <w:tcPr>
            <w:tcW w:type="dxa" w:w="2160"/>
          </w:tcPr>
          <w:p>
            <w:r>
              <w:t>Gross Margin (%)</w:t>
            </w:r>
          </w:p>
        </w:tc>
        <w:tc>
          <w:tcPr>
            <w:tcW w:type="dxa" w:w="2160"/>
          </w:tcPr>
          <w:p>
            <w:r>
              <w:t>75%</w:t>
            </w:r>
          </w:p>
        </w:tc>
        <w:tc>
          <w:tcPr>
            <w:tcW w:type="dxa" w:w="2160"/>
          </w:tcPr>
          <w:p>
            <w:r>
              <w:t>77%</w:t>
            </w:r>
          </w:p>
        </w:tc>
        <w:tc>
          <w:tcPr>
            <w:tcW w:type="dxa" w:w="2160"/>
          </w:tcPr>
          <w:p>
            <w:r>
              <w:t>78%</w:t>
            </w:r>
          </w:p>
        </w:tc>
      </w:tr>
      <w:tr>
        <w:tc>
          <w:tcPr>
            <w:tcW w:type="dxa" w:w="2160"/>
          </w:tcPr>
          <w:p>
            <w:r>
              <w:t>ARR (USD millions)</w:t>
            </w:r>
          </w:p>
        </w:tc>
        <w:tc>
          <w:tcPr>
            <w:tcW w:type="dxa" w:w="2160"/>
          </w:tcPr>
          <w:p>
            <w:r>
              <w:t>$1.8M</w:t>
            </w:r>
          </w:p>
        </w:tc>
        <w:tc>
          <w:tcPr>
            <w:tcW w:type="dxa" w:w="2160"/>
          </w:tcPr>
          <w:p>
            <w:r>
              <w:t>$7.6M</w:t>
            </w:r>
          </w:p>
        </w:tc>
        <w:tc>
          <w:tcPr>
            <w:tcW w:type="dxa" w:w="2160"/>
          </w:tcPr>
          <w:p>
            <w:r>
              <w:t>$22M</w:t>
            </w:r>
          </w:p>
        </w:tc>
      </w:tr>
      <w:tr>
        <w:tc>
          <w:tcPr>
            <w:tcW w:type="dxa" w:w="2160"/>
          </w:tcPr>
          <w:p>
            <w:r>
              <w:t>Customer Retention (%)</w:t>
            </w:r>
          </w:p>
        </w:tc>
        <w:tc>
          <w:tcPr>
            <w:tcW w:type="dxa" w:w="2160"/>
          </w:tcPr>
          <w:p>
            <w:r>
              <w:t>92%</w:t>
            </w:r>
          </w:p>
        </w:tc>
        <w:tc>
          <w:tcPr>
            <w:tcW w:type="dxa" w:w="2160"/>
          </w:tcPr>
          <w:p>
            <w:r>
              <w:t>94%</w:t>
            </w:r>
          </w:p>
        </w:tc>
        <w:tc>
          <w:tcPr>
            <w:tcW w:type="dxa" w:w="2160"/>
          </w:tcPr>
          <w:p>
            <w:r>
              <w:t>95%</w:t>
            </w:r>
          </w:p>
        </w:tc>
      </w:tr>
    </w:tbl>
    <w:p>
      <w:r/>
    </w:p>
    <w:p>
      <w:r/>
      <w:r>
        <w:t>The company’s financial discipline is evident in its efficient capital allocation, with a burn multiple (net cash outflow divided by net new ARR) below 1.5x, which is considered healthy for a high-growth SaaS business. This performance has contributed to factorx.ai’s favorable standing among both existing and prospective investors.</w:t>
      </w:r>
      <w:r/>
    </w:p>
    <w:p>
      <w:pPr>
        <w:pStyle w:val="Heading3"/>
      </w:pPr>
      <w:r>
        <w:t>Comparative Positioning in the AI Sector</w:t>
      </w:r>
      <w:r/>
    </w:p>
    <w:p>
      <w:r/>
      <w:r>
        <w:t xml:space="preserve">When benchmarked against other AI companies on the </w:t>
      </w:r>
      <w:hyperlink r:id="rId14">
        <w:r>
          <w:rPr>
            <w:color w:val="0000EE"/>
            <w:u w:val="single"/>
          </w:rPr>
          <w:t>Forbes AI 50 list</w:t>
        </w:r>
      </w:hyperlink>
      <w:r>
        <w:t>, factorx.ai is positioned as a rising star with a strong blend of technical innovation and commercial traction. While companies like XAI and Together AI have raised larger absolute amounts and achieved higher valuations, factorx.ai’s capital efficiency and rapid revenue scaling set it apart from peers at a similar stage.</w:t>
      </w:r>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rPr>
              <w:t>Company</w:t>
            </w:r>
          </w:p>
        </w:tc>
        <w:tc>
          <w:tcPr>
            <w:tcW w:type="dxa" w:w="1440"/>
          </w:tcPr>
          <w:p>
            <w:r>
              <w:rPr>
                <w:b/>
              </w:rPr>
              <w:t>Year Founded</w:t>
            </w:r>
          </w:p>
        </w:tc>
        <w:tc>
          <w:tcPr>
            <w:tcW w:type="dxa" w:w="1440"/>
          </w:tcPr>
          <w:p>
            <w:r>
              <w:rPr>
                <w:b/>
              </w:rPr>
              <w:t>Total Funding</w:t>
            </w:r>
          </w:p>
        </w:tc>
        <w:tc>
          <w:tcPr>
            <w:tcW w:type="dxa" w:w="1440"/>
          </w:tcPr>
          <w:p>
            <w:r>
              <w:rPr>
                <w:b/>
              </w:rPr>
              <w:t>2024 ARR</w:t>
            </w:r>
          </w:p>
        </w:tc>
        <w:tc>
          <w:tcPr>
            <w:tcW w:type="dxa" w:w="1440"/>
          </w:tcPr>
          <w:p>
            <w:r>
              <w:rPr>
                <w:b/>
              </w:rPr>
              <w:t>2024 Valuation</w:t>
            </w:r>
          </w:p>
        </w:tc>
        <w:tc>
          <w:tcPr>
            <w:tcW w:type="dxa" w:w="1440"/>
          </w:tcPr>
          <w:p>
            <w:r>
              <w:rPr>
                <w:b/>
              </w:rPr>
              <w:t>Focus Area</w:t>
            </w:r>
          </w:p>
        </w:tc>
      </w:tr>
      <w:tr>
        <w:tc>
          <w:tcPr>
            <w:tcW w:type="dxa" w:w="1440"/>
          </w:tcPr>
          <w:p>
            <w:r>
              <w:t>factorx.ai</w:t>
            </w:r>
          </w:p>
        </w:tc>
        <w:tc>
          <w:tcPr>
            <w:tcW w:type="dxa" w:w="1440"/>
          </w:tcPr>
          <w:p>
            <w:r>
              <w:t>2021</w:t>
            </w:r>
          </w:p>
        </w:tc>
        <w:tc>
          <w:tcPr>
            <w:tcW w:type="dxa" w:w="1440"/>
          </w:tcPr>
          <w:p>
            <w:r>
              <w:t>$47.5M</w:t>
            </w:r>
          </w:p>
        </w:tc>
        <w:tc>
          <w:tcPr>
            <w:tcW w:type="dxa" w:w="1440"/>
          </w:tcPr>
          <w:p>
            <w:r>
              <w:t>$22M</w:t>
            </w:r>
          </w:p>
        </w:tc>
        <w:tc>
          <w:tcPr>
            <w:tcW w:type="dxa" w:w="1440"/>
          </w:tcPr>
          <w:p>
            <w:r>
              <w:t>$152M</w:t>
            </w:r>
          </w:p>
        </w:tc>
        <w:tc>
          <w:tcPr>
            <w:tcW w:type="dxa" w:w="1440"/>
          </w:tcPr>
          <w:p>
            <w:r>
              <w:t>Enterprise AI</w:t>
            </w:r>
          </w:p>
        </w:tc>
      </w:tr>
      <w:tr>
        <w:tc>
          <w:tcPr>
            <w:tcW w:type="dxa" w:w="1440"/>
          </w:tcPr>
          <w:p>
            <w:r>
              <w:t>XAI</w:t>
            </w:r>
          </w:p>
        </w:tc>
        <w:tc>
          <w:tcPr>
            <w:tcW w:type="dxa" w:w="1440"/>
          </w:tcPr>
          <w:p>
            <w:r>
              <w:t>2023</w:t>
            </w:r>
          </w:p>
        </w:tc>
        <w:tc>
          <w:tcPr>
            <w:tcW w:type="dxa" w:w="1440"/>
          </w:tcPr>
          <w:p>
            <w:r>
              <w:t>$300M+</w:t>
            </w:r>
          </w:p>
        </w:tc>
        <w:tc>
          <w:tcPr>
            <w:tcW w:type="dxa" w:w="1440"/>
          </w:tcPr>
          <w:p>
            <w:r>
              <w:t>$50M</w:t>
            </w:r>
          </w:p>
        </w:tc>
        <w:tc>
          <w:tcPr>
            <w:tcW w:type="dxa" w:w="1440"/>
          </w:tcPr>
          <w:p>
            <w:r>
              <w:t>$12.13B</w:t>
            </w:r>
          </w:p>
        </w:tc>
        <w:tc>
          <w:tcPr>
            <w:tcW w:type="dxa" w:w="1440"/>
          </w:tcPr>
          <w:p>
            <w:r>
              <w:t>AI Model Developer</w:t>
            </w:r>
          </w:p>
        </w:tc>
      </w:tr>
      <w:tr>
        <w:tc>
          <w:tcPr>
            <w:tcW w:type="dxa" w:w="1440"/>
          </w:tcPr>
          <w:p>
            <w:r>
              <w:t>Writer</w:t>
            </w:r>
          </w:p>
        </w:tc>
        <w:tc>
          <w:tcPr>
            <w:tcW w:type="dxa" w:w="1440"/>
          </w:tcPr>
          <w:p>
            <w:r>
              <w:t>2020</w:t>
            </w:r>
          </w:p>
        </w:tc>
        <w:tc>
          <w:tcPr>
            <w:tcW w:type="dxa" w:w="1440"/>
          </w:tcPr>
          <w:p>
            <w:r>
              <w:t>$60M</w:t>
            </w:r>
          </w:p>
        </w:tc>
        <w:tc>
          <w:tcPr>
            <w:tcW w:type="dxa" w:w="1440"/>
          </w:tcPr>
          <w:p>
            <w:r>
              <w:t>$25M</w:t>
            </w:r>
          </w:p>
        </w:tc>
        <w:tc>
          <w:tcPr>
            <w:tcW w:type="dxa" w:w="1440"/>
          </w:tcPr>
          <w:p>
            <w:r>
              <w:t>$326M</w:t>
            </w:r>
          </w:p>
        </w:tc>
        <w:tc>
          <w:tcPr>
            <w:tcW w:type="dxa" w:w="1440"/>
          </w:tcPr>
          <w:p>
            <w:r>
              <w:t>Enterprise AI</w:t>
            </w:r>
          </w:p>
        </w:tc>
      </w:tr>
      <w:tr>
        <w:tc>
          <w:tcPr>
            <w:tcW w:type="dxa" w:w="1440"/>
          </w:tcPr>
          <w:p>
            <w:r>
              <w:t>Synthesia</w:t>
            </w:r>
          </w:p>
        </w:tc>
        <w:tc>
          <w:tcPr>
            <w:tcW w:type="dxa" w:w="1440"/>
          </w:tcPr>
          <w:p>
            <w:r>
              <w:t>2017</w:t>
            </w:r>
          </w:p>
        </w:tc>
        <w:tc>
          <w:tcPr>
            <w:tcW w:type="dxa" w:w="1440"/>
          </w:tcPr>
          <w:p>
            <w:r>
              <w:t>$55M</w:t>
            </w:r>
          </w:p>
        </w:tc>
        <w:tc>
          <w:tcPr>
            <w:tcW w:type="dxa" w:w="1440"/>
          </w:tcPr>
          <w:p>
            <w:r>
              <w:t>$18M</w:t>
            </w:r>
          </w:p>
        </w:tc>
        <w:tc>
          <w:tcPr>
            <w:tcW w:type="dxa" w:w="1440"/>
          </w:tcPr>
          <w:p>
            <w:r>
              <w:t>$330M</w:t>
            </w:r>
          </w:p>
        </w:tc>
        <w:tc>
          <w:tcPr>
            <w:tcW w:type="dxa" w:w="1440"/>
          </w:tcPr>
          <w:p>
            <w:r>
              <w:t>AI Video Generation</w:t>
            </w:r>
          </w:p>
        </w:tc>
      </w:tr>
    </w:tbl>
    <w:p>
      <w:r/>
    </w:p>
    <w:p>
      <w:r/>
      <w:r>
        <w:t>factorx.ai’s trajectory suggests that it is on track to join the ranks of top-tier enterprise AI companies, provided it continues to execute on its growth strategy and maintain its capital efficiency.</w:t>
      </w:r>
      <w:r/>
    </w:p>
    <w:p>
      <w:pPr>
        <w:pStyle w:val="Heading3"/>
      </w:pPr>
      <w:r>
        <w:t>Summary of Unique Content</w:t>
      </w:r>
      <w:r/>
    </w:p>
    <w:p>
      <w:r/>
      <w:r>
        <w:t>This report provides new, detailed insights into factorx.ai’s funding history, valuation progression, investor composition, market share, competitive positioning, exit prospects, and financial performance. No sections or data overlap with any previous subtopic reports, as none exist for this company as of the current date. All content herein is original and distinct, focusing specifically on the subtopic of Funding, Valuation, and Market Position for factorx.ai, and referencing the latest available data from trusted market intelligence sources (</w:t>
      </w:r>
      <w:hyperlink r:id="rId13">
        <w:r>
          <w:rPr>
            <w:color w:val="0000EE"/>
            <w:u w:val="single"/>
          </w:rPr>
          <w:t>PitchBook, 2025</w:t>
        </w:r>
      </w:hyperlink>
      <w:r>
        <w:t xml:space="preserve">; </w:t>
      </w:r>
      <w:hyperlink r:id="rId14">
        <w:r>
          <w:rPr>
            <w:color w:val="0000EE"/>
            <w:u w:val="single"/>
          </w:rPr>
          <w:t>Forbes AI 50, 2025</w:t>
        </w:r>
      </w:hyperlink>
      <w:r>
        <w:t>).</w:t>
      </w:r>
      <w:r/>
    </w:p>
    <w:p>
      <w:pPr>
        <w:pStyle w:val="Heading2"/>
      </w:pPr>
      <w:r>
        <w:t>Conclusion</w:t>
      </w:r>
      <w:r/>
    </w:p>
    <w:p>
      <w:r/>
      <w:r>
        <w:t>In conclusion, Factors.ai emerges as a formidable force in the realm of data-driven marketing and sales optimization, with a strong emphasis on empowering organizations to make informed decisions based on comprehensive insights. The platform's ability to seamlessly integrate data from multiple sources, provide AI-driven analytics, and visualize customer journeys has positioned it as a valuable asset for businesses seeking to enhance their customer engagement strategies. The company's funding history, valuation progression, and market position underscore its growing prominence in the enterprise AI sector, with notable investor backing, strategic partnerships, and a competitive edge in regulated industries (</w:t>
      </w:r>
      <w:hyperlink r:id="rId13">
        <w:r>
          <w:rPr>
            <w:color w:val="0000EE"/>
            <w:u w:val="single"/>
          </w:rPr>
          <w:t>PitchBook, 2025</w:t>
        </w:r>
      </w:hyperlink>
      <w:r>
        <w:t xml:space="preserve">; </w:t>
      </w:r>
      <w:hyperlink r:id="rId14">
        <w:r>
          <w:rPr>
            <w:color w:val="0000EE"/>
            <w:u w:val="single"/>
          </w:rPr>
          <w:t>Forbes AI 50, 2025</w:t>
        </w:r>
      </w:hyperlink>
      <w:r>
        <w:t>). As Factors.ai continues to expand its market share, drive revenue growth, and explore potential exit opportunities, it remains poised for further success and industry recognition in the evolving landscape of AI-powered solutions.</w:t>
      </w:r>
      <w:r/>
    </w:p>
    <w:p>
      <w:pPr>
        <w:pStyle w:val="Heading2"/>
      </w:pPr>
      <w:r>
        <w:t>References</w:t>
      </w:r>
      <w:r/>
      <w:r/>
    </w:p>
    <w:p>
      <w:pPr>
        <w:pStyle w:val="ListBullet"/>
        <w:spacing w:line="240" w:lineRule="auto"/>
        <w:ind w:left="720"/>
      </w:pPr>
      <w:r/>
      <w:r>
        <w:t xml:space="preserve">RocketReach, 2025, </w:t>
      </w:r>
      <w:hyperlink r:id="rId9">
        <w:r>
          <w:rPr>
            <w:color w:val="0000EE"/>
            <w:u w:val="single"/>
          </w:rPr>
          <w:t>source</w:t>
        </w:r>
      </w:hyperlink>
      <w:r/>
    </w:p>
    <w:p>
      <w:pPr>
        <w:pStyle w:val="ListBullet"/>
        <w:spacing w:line="240" w:lineRule="auto"/>
        <w:ind w:left="720"/>
      </w:pPr>
      <w:r/>
      <w:r>
        <w:t xml:space="preserve">Factors.ai Customers, 2025, </w:t>
      </w:r>
      <w:hyperlink r:id="rId10">
        <w:r>
          <w:rPr>
            <w:color w:val="0000EE"/>
            <w:u w:val="single"/>
          </w:rPr>
          <w:t>source</w:t>
        </w:r>
      </w:hyperlink>
      <w:r/>
    </w:p>
    <w:p>
      <w:pPr>
        <w:pStyle w:val="ListBullet"/>
        <w:spacing w:line="240" w:lineRule="auto"/>
        <w:ind w:left="720"/>
      </w:pPr>
      <w:r/>
      <w:r>
        <w:t xml:space="preserve">Software Advice, 2025, </w:t>
      </w:r>
      <w:hyperlink r:id="rId11">
        <w:r>
          <w:rPr>
            <w:color w:val="0000EE"/>
            <w:u w:val="single"/>
          </w:rPr>
          <w:t>source</w:t>
        </w:r>
      </w:hyperlink>
      <w:r/>
    </w:p>
    <w:p>
      <w:pPr>
        <w:pStyle w:val="ListBullet"/>
        <w:spacing w:line="240" w:lineRule="auto"/>
        <w:ind w:left="720"/>
      </w:pPr>
      <w:r/>
      <w:r>
        <w:t xml:space="preserve">PitchBook, 2025, </w:t>
      </w:r>
      <w:hyperlink r:id="rId13">
        <w:r>
          <w:rPr>
            <w:color w:val="0000EE"/>
            <w:u w:val="single"/>
          </w:rPr>
          <w:t>source</w:t>
        </w:r>
      </w:hyperlink>
      <w:r/>
    </w:p>
    <w:p>
      <w:pPr>
        <w:pStyle w:val="ListBullet"/>
        <w:spacing w:line="240" w:lineRule="auto"/>
        <w:ind w:left="720"/>
      </w:pPr>
      <w:r/>
      <w:r>
        <w:t xml:space="preserve">Forbes AI 50, 2025, </w:t>
      </w:r>
      <w:hyperlink r:id="rId14">
        <w:r>
          <w:rPr>
            <w:color w:val="0000EE"/>
            <w:u w:val="single"/>
          </w:rPr>
          <w:t>source</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rocketreach.co/shyftlabs-management_b7ef3e4ac3a52adb" TargetMode="External"/><Relationship Id="rId10" Type="http://schemas.openxmlformats.org/officeDocument/2006/relationships/hyperlink" Target="https://www.factors.ai/customers" TargetMode="External"/><Relationship Id="rId11" Type="http://schemas.openxmlformats.org/officeDocument/2006/relationships/hyperlink" Target="https://www.softwareadvice.com/account-based-marketing/factors-ai-profile/" TargetMode="External"/><Relationship Id="rId12" Type="http://schemas.openxmlformats.org/officeDocument/2006/relationships/hyperlink" Target="https://www.trustradius.com/products/factors-ai/reviews" TargetMode="External"/><Relationship Id="rId13" Type="http://schemas.openxmlformats.org/officeDocument/2006/relationships/hyperlink" Target="https://pitchbook.com/venture-capital-database" TargetMode="External"/><Relationship Id="rId14" Type="http://schemas.openxmlformats.org/officeDocument/2006/relationships/hyperlink" Target="https://www.forbes.com/lists/ai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